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70EC" w:rsidRPr="0023206E" w:rsidRDefault="000D70EC" w:rsidP="000D70EC">
      <w:pPr>
        <w:autoSpaceDE w:val="0"/>
        <w:autoSpaceDN w:val="0"/>
        <w:adjustRightInd w:val="0"/>
        <w:spacing w:after="0" w:line="360" w:lineRule="auto"/>
        <w:jc w:val="center"/>
        <w:rPr>
          <w:rFonts w:asciiTheme="majorBidi" w:eastAsia="Times New Roman" w:hAnsiTheme="majorBidi" w:cstheme="majorBidi"/>
          <w:b/>
          <w:bCs/>
          <w:i/>
          <w:iCs/>
          <w:sz w:val="24"/>
          <w:szCs w:val="24"/>
        </w:rPr>
      </w:pPr>
      <w:r w:rsidRPr="0023206E">
        <w:rPr>
          <w:rFonts w:asciiTheme="majorBidi" w:eastAsia="Times New Roman" w:hAnsiTheme="majorBidi" w:cstheme="majorBidi"/>
          <w:b/>
          <w:bCs/>
          <w:i/>
          <w:iCs/>
          <w:sz w:val="24"/>
          <w:szCs w:val="24"/>
        </w:rPr>
        <w:t>Determination of cutoff point of cross sectional area of median nerve at the level of carpal tunnel inlet to diagnose carpal tunnel syndrome</w:t>
      </w:r>
    </w:p>
    <w:p w:rsidR="000D70EC" w:rsidRDefault="000D70EC" w:rsidP="000D70EC">
      <w:pPr>
        <w:rPr>
          <w:rFonts w:asciiTheme="minorBidi" w:hAnsiTheme="minorBidi"/>
          <w:b/>
          <w:bCs/>
          <w:sz w:val="24"/>
          <w:szCs w:val="24"/>
        </w:rPr>
      </w:pPr>
    </w:p>
    <w:p w:rsidR="00E95F71" w:rsidRPr="00E95F71" w:rsidRDefault="00E95F71" w:rsidP="000D70EC">
      <w:pPr>
        <w:spacing w:line="480" w:lineRule="auto"/>
        <w:rPr>
          <w:rFonts w:asciiTheme="minorBidi" w:hAnsiTheme="minorBidi"/>
          <w:i/>
          <w:iCs/>
          <w:sz w:val="20"/>
          <w:szCs w:val="20"/>
        </w:rPr>
      </w:pPr>
      <w:proofErr w:type="gramStart"/>
      <w:r w:rsidRPr="00E95F71">
        <w:rPr>
          <w:rFonts w:asciiTheme="minorBidi" w:hAnsiTheme="minorBidi"/>
          <w:i/>
          <w:iCs/>
          <w:sz w:val="20"/>
          <w:szCs w:val="20"/>
        </w:rPr>
        <w:t>Authors :</w:t>
      </w:r>
      <w:proofErr w:type="gramEnd"/>
      <w:r w:rsidRPr="00E95F71">
        <w:rPr>
          <w:rFonts w:asciiTheme="minorBidi" w:hAnsiTheme="minorBidi"/>
          <w:i/>
          <w:iCs/>
          <w:sz w:val="20"/>
          <w:szCs w:val="20"/>
        </w:rPr>
        <w:t xml:space="preserve"> Majid </w:t>
      </w:r>
      <w:proofErr w:type="spellStart"/>
      <w:r w:rsidRPr="00E95F71">
        <w:rPr>
          <w:rFonts w:asciiTheme="minorBidi" w:hAnsiTheme="minorBidi"/>
          <w:i/>
          <w:iCs/>
          <w:sz w:val="20"/>
          <w:szCs w:val="20"/>
        </w:rPr>
        <w:t>Ghasemi</w:t>
      </w:r>
      <w:proofErr w:type="spellEnd"/>
      <w:r w:rsidRPr="00E95F71">
        <w:rPr>
          <w:rFonts w:asciiTheme="minorBidi" w:hAnsiTheme="minorBidi"/>
          <w:i/>
          <w:iCs/>
          <w:sz w:val="20"/>
          <w:szCs w:val="20"/>
        </w:rPr>
        <w:t xml:space="preserve">, </w:t>
      </w:r>
      <w:proofErr w:type="spellStart"/>
      <w:r w:rsidRPr="00E95F71">
        <w:rPr>
          <w:rFonts w:asciiTheme="minorBidi" w:hAnsiTheme="minorBidi"/>
          <w:i/>
          <w:iCs/>
          <w:sz w:val="20"/>
          <w:szCs w:val="20"/>
        </w:rPr>
        <w:t>Sanaz</w:t>
      </w:r>
      <w:proofErr w:type="spellEnd"/>
      <w:r w:rsidRPr="00E95F71">
        <w:rPr>
          <w:rFonts w:asciiTheme="minorBidi" w:hAnsiTheme="minorBidi"/>
          <w:i/>
          <w:iCs/>
          <w:sz w:val="20"/>
          <w:szCs w:val="20"/>
        </w:rPr>
        <w:t xml:space="preserve"> </w:t>
      </w:r>
      <w:proofErr w:type="spellStart"/>
      <w:r w:rsidRPr="00E95F71">
        <w:rPr>
          <w:rFonts w:asciiTheme="minorBidi" w:hAnsiTheme="minorBidi"/>
          <w:i/>
          <w:iCs/>
          <w:sz w:val="20"/>
          <w:szCs w:val="20"/>
        </w:rPr>
        <w:t>masoumi</w:t>
      </w:r>
      <w:proofErr w:type="spellEnd"/>
      <w:r w:rsidRPr="00E95F71">
        <w:rPr>
          <w:rFonts w:asciiTheme="minorBidi" w:hAnsiTheme="minorBidi"/>
          <w:i/>
          <w:iCs/>
          <w:sz w:val="20"/>
          <w:szCs w:val="20"/>
        </w:rPr>
        <w:t xml:space="preserve">, </w:t>
      </w:r>
      <w:proofErr w:type="spellStart"/>
      <w:r w:rsidRPr="00E95F71">
        <w:rPr>
          <w:rFonts w:asciiTheme="minorBidi" w:hAnsiTheme="minorBidi"/>
          <w:i/>
          <w:iCs/>
          <w:sz w:val="20"/>
          <w:szCs w:val="20"/>
        </w:rPr>
        <w:t>Behnaz</w:t>
      </w:r>
      <w:proofErr w:type="spellEnd"/>
      <w:r w:rsidRPr="00E95F71">
        <w:rPr>
          <w:rFonts w:asciiTheme="minorBidi" w:hAnsiTheme="minorBidi"/>
          <w:i/>
          <w:iCs/>
          <w:sz w:val="20"/>
          <w:szCs w:val="20"/>
        </w:rPr>
        <w:t xml:space="preserve"> </w:t>
      </w:r>
      <w:proofErr w:type="spellStart"/>
      <w:r w:rsidRPr="00E95F71">
        <w:rPr>
          <w:rFonts w:asciiTheme="minorBidi" w:hAnsiTheme="minorBidi"/>
          <w:i/>
          <w:iCs/>
          <w:sz w:val="20"/>
          <w:szCs w:val="20"/>
        </w:rPr>
        <w:t>Ansari</w:t>
      </w:r>
      <w:proofErr w:type="spellEnd"/>
    </w:p>
    <w:p w:rsidR="00EE6A07" w:rsidRDefault="000D70EC" w:rsidP="000D70EC">
      <w:pPr>
        <w:spacing w:line="480" w:lineRule="auto"/>
        <w:rPr>
          <w:rFonts w:asciiTheme="minorBidi" w:eastAsia="Times New Roman" w:hAnsiTheme="minorBidi"/>
          <w:sz w:val="24"/>
          <w:szCs w:val="24"/>
        </w:rPr>
      </w:pPr>
      <w:r w:rsidRPr="000D70EC">
        <w:rPr>
          <w:rFonts w:asciiTheme="minorBidi" w:hAnsiTheme="minorBidi"/>
          <w:b/>
          <w:bCs/>
          <w:sz w:val="24"/>
          <w:szCs w:val="24"/>
        </w:rPr>
        <w:t>Aim</w:t>
      </w:r>
      <w:r w:rsidRPr="000D70EC">
        <w:rPr>
          <w:rFonts w:asciiTheme="minorBidi" w:hAnsiTheme="minorBidi"/>
          <w:sz w:val="24"/>
          <w:szCs w:val="24"/>
        </w:rPr>
        <w:t>: To elucidate</w:t>
      </w:r>
      <w:r w:rsidRPr="000D70EC">
        <w:rPr>
          <w:sz w:val="24"/>
          <w:szCs w:val="24"/>
        </w:rPr>
        <w:t xml:space="preserve"> </w:t>
      </w:r>
      <w:r w:rsidRPr="0023206E">
        <w:rPr>
          <w:rFonts w:asciiTheme="minorBidi" w:eastAsia="Times New Roman" w:hAnsiTheme="minorBidi"/>
          <w:sz w:val="24"/>
          <w:szCs w:val="24"/>
        </w:rPr>
        <w:t xml:space="preserve">the best cut off point of </w:t>
      </w:r>
      <w:r>
        <w:rPr>
          <w:rFonts w:asciiTheme="minorBidi" w:eastAsia="Times New Roman" w:hAnsiTheme="minorBidi"/>
          <w:sz w:val="24"/>
          <w:szCs w:val="24"/>
        </w:rPr>
        <w:t>cross sectional area (</w:t>
      </w:r>
      <w:r w:rsidRPr="0023206E">
        <w:rPr>
          <w:rFonts w:asciiTheme="minorBidi" w:eastAsia="Times New Roman" w:hAnsiTheme="minorBidi"/>
          <w:sz w:val="24"/>
          <w:szCs w:val="24"/>
        </w:rPr>
        <w:t>CSA</w:t>
      </w:r>
      <w:r>
        <w:rPr>
          <w:rFonts w:asciiTheme="minorBidi" w:eastAsia="Times New Roman" w:hAnsiTheme="minorBidi"/>
          <w:sz w:val="24"/>
          <w:szCs w:val="24"/>
        </w:rPr>
        <w:t xml:space="preserve">) at the level of carpal tunnel inlet </w:t>
      </w:r>
      <w:r w:rsidRPr="0023206E">
        <w:rPr>
          <w:rFonts w:asciiTheme="minorBidi" w:eastAsia="Times New Roman" w:hAnsiTheme="minorBidi"/>
          <w:sz w:val="24"/>
          <w:szCs w:val="24"/>
        </w:rPr>
        <w:t xml:space="preserve">to differentiate </w:t>
      </w:r>
      <w:r>
        <w:rPr>
          <w:rFonts w:asciiTheme="minorBidi" w:eastAsia="Times New Roman" w:hAnsiTheme="minorBidi"/>
          <w:sz w:val="24"/>
          <w:szCs w:val="24"/>
        </w:rPr>
        <w:t>carpal tunnel syndrome (CTS)</w:t>
      </w:r>
      <w:r w:rsidRPr="0023206E">
        <w:rPr>
          <w:rFonts w:asciiTheme="minorBidi" w:eastAsia="Times New Roman" w:hAnsiTheme="minorBidi"/>
          <w:sz w:val="24"/>
          <w:szCs w:val="24"/>
        </w:rPr>
        <w:t xml:space="preserve"> </w:t>
      </w:r>
      <w:r>
        <w:rPr>
          <w:rFonts w:asciiTheme="minorBidi" w:eastAsia="Times New Roman" w:hAnsiTheme="minorBidi"/>
          <w:sz w:val="24"/>
          <w:szCs w:val="24"/>
        </w:rPr>
        <w:t>from normal people</w:t>
      </w:r>
    </w:p>
    <w:p w:rsidR="000D70EC" w:rsidRPr="0023206E" w:rsidRDefault="000D70EC" w:rsidP="000D70EC">
      <w:pPr>
        <w:spacing w:line="480" w:lineRule="auto"/>
        <w:jc w:val="both"/>
        <w:rPr>
          <w:rFonts w:asciiTheme="minorBidi" w:eastAsia="Times New Roman" w:hAnsiTheme="minorBidi"/>
          <w:sz w:val="24"/>
          <w:szCs w:val="24"/>
        </w:rPr>
      </w:pPr>
      <w:r w:rsidRPr="0023206E">
        <w:rPr>
          <w:rFonts w:asciiTheme="minorBidi" w:eastAsia="Times New Roman" w:hAnsiTheme="minorBidi"/>
          <w:b/>
          <w:bCs/>
          <w:i/>
          <w:iCs/>
          <w:sz w:val="24"/>
          <w:szCs w:val="24"/>
        </w:rPr>
        <w:t>Method:</w:t>
      </w:r>
      <w:r w:rsidRPr="0023206E">
        <w:rPr>
          <w:rFonts w:asciiTheme="minorBidi" w:eastAsia="Times New Roman" w:hAnsiTheme="minorBidi"/>
          <w:sz w:val="24"/>
          <w:szCs w:val="24"/>
        </w:rPr>
        <w:t xml:space="preserve"> In this study, 45 patients</w:t>
      </w:r>
      <w:r>
        <w:rPr>
          <w:rFonts w:asciiTheme="minorBidi" w:eastAsia="Times New Roman" w:hAnsiTheme="minorBidi"/>
          <w:sz w:val="24"/>
          <w:szCs w:val="24"/>
        </w:rPr>
        <w:t xml:space="preserve"> with </w:t>
      </w:r>
      <w:proofErr w:type="spellStart"/>
      <w:r>
        <w:rPr>
          <w:rFonts w:asciiTheme="minorBidi" w:eastAsia="Times New Roman" w:hAnsiTheme="minorBidi"/>
          <w:sz w:val="24"/>
          <w:szCs w:val="24"/>
        </w:rPr>
        <w:t>electro</w:t>
      </w:r>
      <w:r w:rsidRPr="0023206E">
        <w:rPr>
          <w:rFonts w:asciiTheme="minorBidi" w:eastAsia="Times New Roman" w:hAnsiTheme="minorBidi"/>
          <w:sz w:val="24"/>
          <w:szCs w:val="24"/>
        </w:rPr>
        <w:t>physiologically</w:t>
      </w:r>
      <w:proofErr w:type="spellEnd"/>
      <w:r w:rsidRPr="0023206E">
        <w:rPr>
          <w:rFonts w:asciiTheme="minorBidi" w:eastAsia="Times New Roman" w:hAnsiTheme="minorBidi"/>
          <w:sz w:val="24"/>
          <w:szCs w:val="24"/>
        </w:rPr>
        <w:t xml:space="preserve"> c</w:t>
      </w:r>
      <w:r>
        <w:rPr>
          <w:rFonts w:asciiTheme="minorBidi" w:eastAsia="Times New Roman" w:hAnsiTheme="minorBidi"/>
          <w:sz w:val="24"/>
          <w:szCs w:val="24"/>
        </w:rPr>
        <w:t xml:space="preserve">onfirmed idiopathic CTS and </w:t>
      </w:r>
      <w:r w:rsidRPr="0023206E">
        <w:rPr>
          <w:rFonts w:asciiTheme="minorBidi" w:eastAsia="Times New Roman" w:hAnsiTheme="minorBidi"/>
          <w:sz w:val="24"/>
          <w:szCs w:val="24"/>
        </w:rPr>
        <w:t xml:space="preserve">62 healthy controls (including Seventy-seven affected nerves and 124 unaffected nerves) were evaluated within 14 days after electrophysiological examination. Based </w:t>
      </w:r>
      <w:proofErr w:type="spellStart"/>
      <w:r w:rsidRPr="0023206E">
        <w:rPr>
          <w:rFonts w:asciiTheme="minorBidi" w:eastAsia="Times New Roman" w:hAnsiTheme="minorBidi"/>
          <w:sz w:val="24"/>
          <w:szCs w:val="24"/>
        </w:rPr>
        <w:t>electrophysiologic</w:t>
      </w:r>
      <w:proofErr w:type="spellEnd"/>
      <w:r w:rsidRPr="0023206E">
        <w:rPr>
          <w:rFonts w:asciiTheme="minorBidi" w:eastAsia="Times New Roman" w:hAnsiTheme="minorBidi"/>
          <w:sz w:val="24"/>
          <w:szCs w:val="24"/>
        </w:rPr>
        <w:t xml:space="preserve"> findings</w:t>
      </w:r>
      <w:r>
        <w:rPr>
          <w:rFonts w:asciiTheme="minorBidi" w:eastAsia="Times New Roman" w:hAnsiTheme="minorBidi"/>
          <w:sz w:val="24"/>
          <w:szCs w:val="24"/>
        </w:rPr>
        <w:t>,</w:t>
      </w:r>
      <w:r w:rsidRPr="0023206E">
        <w:rPr>
          <w:rFonts w:asciiTheme="minorBidi" w:eastAsia="Times New Roman" w:hAnsiTheme="minorBidi"/>
          <w:sz w:val="24"/>
          <w:szCs w:val="24"/>
        </w:rPr>
        <w:t xml:space="preserve"> patients were divided into three groups: mild, moderate and severe. The largest cross-sectional area (CSA) was measured at the level of the carpal tunnel inlet</w:t>
      </w:r>
      <w:r>
        <w:rPr>
          <w:rFonts w:asciiTheme="minorBidi" w:eastAsia="Times New Roman" w:hAnsiTheme="minorBidi"/>
          <w:sz w:val="24"/>
          <w:szCs w:val="24"/>
        </w:rPr>
        <w:t xml:space="preserve"> </w:t>
      </w:r>
      <w:r w:rsidRPr="0023206E">
        <w:rPr>
          <w:rFonts w:asciiTheme="minorBidi" w:eastAsia="Times New Roman" w:hAnsiTheme="minorBidi"/>
          <w:sz w:val="24"/>
          <w:szCs w:val="24"/>
        </w:rPr>
        <w:t xml:space="preserve">(at the </w:t>
      </w:r>
      <w:proofErr w:type="spellStart"/>
      <w:r w:rsidRPr="0023206E">
        <w:rPr>
          <w:rFonts w:asciiTheme="minorBidi" w:eastAsia="Times New Roman" w:hAnsiTheme="minorBidi"/>
          <w:sz w:val="24"/>
          <w:szCs w:val="24"/>
        </w:rPr>
        <w:t>pisiform</w:t>
      </w:r>
      <w:proofErr w:type="spellEnd"/>
      <w:r w:rsidRPr="0023206E">
        <w:rPr>
          <w:rFonts w:asciiTheme="minorBidi" w:eastAsia="Times New Roman" w:hAnsiTheme="minorBidi"/>
          <w:sz w:val="24"/>
          <w:szCs w:val="24"/>
        </w:rPr>
        <w:t xml:space="preserve"> bone level to distal wrist crease).</w:t>
      </w:r>
    </w:p>
    <w:p w:rsidR="000D70EC" w:rsidRPr="0023206E" w:rsidRDefault="000D70EC" w:rsidP="000D70EC">
      <w:pPr>
        <w:spacing w:line="480" w:lineRule="auto"/>
        <w:jc w:val="both"/>
        <w:rPr>
          <w:rFonts w:asciiTheme="minorBidi" w:eastAsia="Calibri" w:hAnsiTheme="minorBidi"/>
          <w:sz w:val="24"/>
          <w:szCs w:val="24"/>
        </w:rPr>
      </w:pPr>
      <w:r w:rsidRPr="0023206E">
        <w:rPr>
          <w:rFonts w:asciiTheme="minorBidi" w:eastAsia="Times New Roman" w:hAnsiTheme="minorBidi"/>
          <w:b/>
          <w:bCs/>
          <w:i/>
          <w:iCs/>
          <w:sz w:val="24"/>
          <w:szCs w:val="24"/>
        </w:rPr>
        <w:t>Result:</w:t>
      </w:r>
      <w:r w:rsidRPr="0023206E">
        <w:rPr>
          <w:rFonts w:asciiTheme="minorBidi" w:eastAsia="Times New Roman" w:hAnsiTheme="minorBidi"/>
          <w:sz w:val="24"/>
          <w:szCs w:val="24"/>
        </w:rPr>
        <w:t xml:space="preserve"> Mean CSA were 0.1238± 0.031mm2</w:t>
      </w:r>
      <w:r>
        <w:rPr>
          <w:rFonts w:asciiTheme="minorBidi" w:eastAsia="Times New Roman" w:hAnsiTheme="minorBidi"/>
          <w:sz w:val="24"/>
          <w:szCs w:val="24"/>
        </w:rPr>
        <w:t xml:space="preserve">, </w:t>
      </w:r>
      <w:r w:rsidRPr="0023206E">
        <w:rPr>
          <w:rFonts w:asciiTheme="minorBidi" w:eastAsia="Times New Roman" w:hAnsiTheme="minorBidi"/>
          <w:sz w:val="24"/>
          <w:szCs w:val="24"/>
        </w:rPr>
        <w:t xml:space="preserve">0.146±0.028mm2 and 0.194±0.062mm2   in mild, moderate and severe CTS patients, respectively, and 0.077 ± 0.011 mm2 in controls. We obtained </w:t>
      </w:r>
      <w:r w:rsidRPr="0023206E">
        <w:rPr>
          <w:rFonts w:asciiTheme="minorBidi" w:eastAsia="Calibri" w:hAnsiTheme="minorBidi"/>
          <w:sz w:val="24"/>
          <w:szCs w:val="24"/>
        </w:rPr>
        <w:t>two cut off point for CSA-D with different validity, 0/105 mm2 with sensitivity and specificity of 83.1% and 100</w:t>
      </w:r>
      <w:proofErr w:type="gramStart"/>
      <w:r w:rsidRPr="0023206E">
        <w:rPr>
          <w:rFonts w:asciiTheme="minorBidi" w:eastAsia="Calibri" w:hAnsiTheme="minorBidi"/>
          <w:sz w:val="24"/>
          <w:szCs w:val="24"/>
        </w:rPr>
        <w:t>%  and</w:t>
      </w:r>
      <w:proofErr w:type="gramEnd"/>
      <w:r w:rsidRPr="0023206E">
        <w:rPr>
          <w:rFonts w:asciiTheme="minorBidi" w:eastAsia="Calibri" w:hAnsiTheme="minorBidi"/>
          <w:sz w:val="24"/>
          <w:szCs w:val="24"/>
        </w:rPr>
        <w:t xml:space="preserve"> 0,095 mm2  with sensitivity and specificity of 88.3% and 92.7%</w:t>
      </w:r>
      <w:r>
        <w:rPr>
          <w:rFonts w:asciiTheme="minorBidi" w:eastAsia="Calibri" w:hAnsiTheme="minorBidi"/>
          <w:sz w:val="24"/>
          <w:szCs w:val="24"/>
        </w:rPr>
        <w:t>, respectively.</w:t>
      </w:r>
    </w:p>
    <w:p w:rsidR="000D70EC" w:rsidRPr="0023206E" w:rsidRDefault="000D70EC" w:rsidP="000D70EC">
      <w:pPr>
        <w:autoSpaceDE w:val="0"/>
        <w:autoSpaceDN w:val="0"/>
        <w:adjustRightInd w:val="0"/>
        <w:spacing w:after="0" w:line="480" w:lineRule="auto"/>
        <w:jc w:val="both"/>
        <w:rPr>
          <w:rFonts w:asciiTheme="minorBidi" w:eastAsia="Calibri" w:hAnsiTheme="minorBidi"/>
          <w:sz w:val="24"/>
          <w:szCs w:val="24"/>
        </w:rPr>
      </w:pPr>
      <w:r w:rsidRPr="0023206E">
        <w:rPr>
          <w:rFonts w:asciiTheme="minorBidi" w:eastAsia="Times New Roman" w:hAnsiTheme="minorBidi"/>
          <w:b/>
          <w:bCs/>
          <w:i/>
          <w:iCs/>
          <w:sz w:val="24"/>
          <w:szCs w:val="24"/>
        </w:rPr>
        <w:t>Conclusion:</w:t>
      </w:r>
      <w:r w:rsidRPr="0023206E">
        <w:rPr>
          <w:rFonts w:asciiTheme="minorBidi" w:eastAsia="Times New Roman" w:hAnsiTheme="minorBidi"/>
          <w:sz w:val="24"/>
          <w:szCs w:val="24"/>
        </w:rPr>
        <w:t xml:space="preserve"> It is possible to diagnose carpal tu</w:t>
      </w:r>
      <w:r>
        <w:rPr>
          <w:rFonts w:asciiTheme="minorBidi" w:eastAsia="Times New Roman" w:hAnsiTheme="minorBidi"/>
          <w:sz w:val="24"/>
          <w:szCs w:val="24"/>
        </w:rPr>
        <w:t xml:space="preserve">nnel syndrome by measuring CSA </w:t>
      </w:r>
      <w:r w:rsidRPr="0023206E">
        <w:rPr>
          <w:rFonts w:asciiTheme="minorBidi" w:eastAsia="Times New Roman" w:hAnsiTheme="minorBidi"/>
          <w:sz w:val="24"/>
          <w:szCs w:val="24"/>
        </w:rPr>
        <w:t>and using above mentioned cutoff points.</w:t>
      </w:r>
    </w:p>
    <w:p w:rsidR="000D70EC" w:rsidRDefault="000D70EC"/>
    <w:sectPr w:rsidR="000D70EC" w:rsidSect="00EE6A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6"/>
  <w:proofState w:spelling="clean" w:grammar="clean"/>
  <w:defaultTabStop w:val="720"/>
  <w:characterSpacingControl w:val="doNotCompress"/>
  <w:compat/>
  <w:rsids>
    <w:rsidRoot w:val="000D70EC"/>
    <w:rsid w:val="0008350E"/>
    <w:rsid w:val="000D70EC"/>
    <w:rsid w:val="00D025F3"/>
    <w:rsid w:val="00E95F71"/>
    <w:rsid w:val="00EE6A07"/>
    <w:rsid w:val="00FE59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6A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203</Words>
  <Characters>1161</Characters>
  <Application>Microsoft Office Word</Application>
  <DocSecurity>0</DocSecurity>
  <Lines>9</Lines>
  <Paragraphs>2</Paragraphs>
  <ScaleCrop>false</ScaleCrop>
  <Company/>
  <LinksUpToDate>false</LinksUpToDate>
  <CharactersWithSpaces>1362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majid</dc:creator>
  <cp:lastModifiedBy>majid</cp:lastModifiedBy>
  <cp:revision>2</cp:revision>
  <dcterms:created xsi:type="dcterms:W3CDTF">2017-01-19T09:34:00Z</dcterms:created>
  <dcterms:modified xsi:type="dcterms:W3CDTF">2017-01-19T10:12:00Z</dcterms:modified>
</cp:coreProperties>
</file>