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8FF2B" w14:textId="77777777" w:rsidR="009309ED" w:rsidRDefault="00000000">
      <w:pPr>
        <w:pStyle w:val="BodyText"/>
        <w:ind w:left="465"/>
        <w:rPr>
          <w:rFonts w:ascii="Times New Roman"/>
          <w:sz w:val="20"/>
        </w:rPr>
      </w:pPr>
      <w:r>
        <w:rPr>
          <w:rFonts w:ascii="Times New Roman"/>
          <w:noProof/>
          <w:sz w:val="20"/>
        </w:rPr>
        <w:drawing>
          <wp:inline distT="0" distB="0" distL="0" distR="0" wp14:anchorId="70B5D5B3" wp14:editId="0AD43163">
            <wp:extent cx="6498324" cy="75437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498324" cy="754379"/>
                    </a:xfrm>
                    <a:prstGeom prst="rect">
                      <a:avLst/>
                    </a:prstGeom>
                  </pic:spPr>
                </pic:pic>
              </a:graphicData>
            </a:graphic>
          </wp:inline>
        </w:drawing>
      </w:r>
    </w:p>
    <w:p w14:paraId="3BC1E505" w14:textId="77777777" w:rsidR="009309ED" w:rsidRDefault="009309ED">
      <w:pPr>
        <w:pStyle w:val="BodyText"/>
        <w:rPr>
          <w:rFonts w:ascii="Times New Roman"/>
          <w:sz w:val="20"/>
        </w:rPr>
      </w:pPr>
    </w:p>
    <w:p w14:paraId="187BC6D6" w14:textId="77777777" w:rsidR="009309ED" w:rsidRDefault="009309ED">
      <w:pPr>
        <w:pStyle w:val="BodyText"/>
        <w:spacing w:before="4"/>
        <w:rPr>
          <w:rFonts w:ascii="Times New Roman"/>
          <w:sz w:val="21"/>
        </w:rPr>
      </w:pPr>
    </w:p>
    <w:p w14:paraId="5F87C74C" w14:textId="77777777" w:rsidR="009309ED" w:rsidRDefault="00000000">
      <w:pPr>
        <w:spacing w:before="52"/>
        <w:ind w:left="870"/>
        <w:rPr>
          <w:rFonts w:ascii="Cambria Math"/>
          <w:b/>
          <w:sz w:val="28"/>
        </w:rPr>
      </w:pPr>
      <w:r>
        <w:rPr>
          <w:rFonts w:ascii="Cambria Math"/>
          <w:b/>
          <w:sz w:val="28"/>
        </w:rPr>
        <w:t>These</w:t>
      </w:r>
      <w:r>
        <w:rPr>
          <w:rFonts w:ascii="Cambria Math"/>
          <w:b/>
          <w:spacing w:val="9"/>
          <w:sz w:val="28"/>
        </w:rPr>
        <w:t xml:space="preserve"> </w:t>
      </w:r>
      <w:r>
        <w:rPr>
          <w:rFonts w:ascii="Cambria Math"/>
          <w:b/>
          <w:sz w:val="28"/>
        </w:rPr>
        <w:t>are</w:t>
      </w:r>
      <w:r>
        <w:rPr>
          <w:rFonts w:ascii="Cambria Math"/>
          <w:b/>
          <w:spacing w:val="10"/>
          <w:sz w:val="28"/>
        </w:rPr>
        <w:t xml:space="preserve"> </w:t>
      </w:r>
      <w:r>
        <w:rPr>
          <w:rFonts w:ascii="Cambria Math"/>
          <w:b/>
          <w:sz w:val="28"/>
        </w:rPr>
        <w:t>the</w:t>
      </w:r>
      <w:r>
        <w:rPr>
          <w:rFonts w:ascii="Cambria Math"/>
          <w:b/>
          <w:spacing w:val="8"/>
          <w:sz w:val="28"/>
        </w:rPr>
        <w:t xml:space="preserve"> </w:t>
      </w:r>
      <w:r>
        <w:rPr>
          <w:rFonts w:ascii="Cambria Math"/>
          <w:b/>
          <w:color w:val="FF0000"/>
          <w:position w:val="7"/>
          <w:sz w:val="18"/>
        </w:rPr>
        <w:t>*</w:t>
      </w:r>
      <w:r>
        <w:rPr>
          <w:rFonts w:ascii="Cambria Math"/>
          <w:b/>
          <w:sz w:val="28"/>
        </w:rPr>
        <w:t>mandatory</w:t>
      </w:r>
      <w:r>
        <w:rPr>
          <w:rFonts w:ascii="Cambria Math"/>
          <w:b/>
          <w:spacing w:val="10"/>
          <w:sz w:val="28"/>
        </w:rPr>
        <w:t xml:space="preserve"> </w:t>
      </w:r>
      <w:r>
        <w:rPr>
          <w:rFonts w:ascii="Cambria Math"/>
          <w:b/>
          <w:sz w:val="28"/>
        </w:rPr>
        <w:t>fields</w:t>
      </w:r>
      <w:r>
        <w:rPr>
          <w:rFonts w:ascii="Cambria Math"/>
          <w:b/>
          <w:spacing w:val="8"/>
          <w:sz w:val="28"/>
        </w:rPr>
        <w:t xml:space="preserve"> </w:t>
      </w:r>
      <w:r>
        <w:rPr>
          <w:rFonts w:ascii="Cambria Math"/>
          <w:b/>
          <w:sz w:val="28"/>
        </w:rPr>
        <w:t>that</w:t>
      </w:r>
      <w:r>
        <w:rPr>
          <w:rFonts w:ascii="Cambria Math"/>
          <w:b/>
          <w:spacing w:val="9"/>
          <w:sz w:val="28"/>
        </w:rPr>
        <w:t xml:space="preserve"> </w:t>
      </w:r>
      <w:r>
        <w:rPr>
          <w:rFonts w:ascii="Cambria Math"/>
          <w:b/>
          <w:sz w:val="28"/>
        </w:rPr>
        <w:t>must</w:t>
      </w:r>
      <w:r>
        <w:rPr>
          <w:rFonts w:ascii="Cambria Math"/>
          <w:b/>
          <w:spacing w:val="10"/>
          <w:sz w:val="28"/>
        </w:rPr>
        <w:t xml:space="preserve"> </w:t>
      </w:r>
      <w:r>
        <w:rPr>
          <w:rFonts w:ascii="Cambria Math"/>
          <w:b/>
          <w:sz w:val="28"/>
        </w:rPr>
        <w:t>be</w:t>
      </w:r>
      <w:r>
        <w:rPr>
          <w:rFonts w:ascii="Cambria Math"/>
          <w:b/>
          <w:spacing w:val="10"/>
          <w:sz w:val="28"/>
        </w:rPr>
        <w:t xml:space="preserve"> </w:t>
      </w:r>
      <w:r>
        <w:rPr>
          <w:rFonts w:ascii="Cambria Math"/>
          <w:b/>
          <w:sz w:val="28"/>
        </w:rPr>
        <w:t>filled</w:t>
      </w:r>
      <w:r>
        <w:rPr>
          <w:rFonts w:ascii="Cambria Math"/>
          <w:b/>
          <w:spacing w:val="8"/>
          <w:sz w:val="28"/>
        </w:rPr>
        <w:t xml:space="preserve"> </w:t>
      </w:r>
      <w:r>
        <w:rPr>
          <w:rFonts w:ascii="Cambria Math"/>
          <w:b/>
          <w:sz w:val="28"/>
        </w:rPr>
        <w:t>in</w:t>
      </w:r>
      <w:r>
        <w:rPr>
          <w:rFonts w:ascii="Cambria Math"/>
          <w:b/>
          <w:spacing w:val="10"/>
          <w:sz w:val="28"/>
        </w:rPr>
        <w:t xml:space="preserve"> </w:t>
      </w:r>
      <w:r>
        <w:rPr>
          <w:rFonts w:ascii="Cambria Math"/>
          <w:b/>
          <w:sz w:val="28"/>
        </w:rPr>
        <w:t>for</w:t>
      </w:r>
      <w:r>
        <w:rPr>
          <w:rFonts w:ascii="Cambria Math"/>
          <w:b/>
          <w:spacing w:val="8"/>
          <w:sz w:val="28"/>
        </w:rPr>
        <w:t xml:space="preserve"> </w:t>
      </w:r>
      <w:r>
        <w:rPr>
          <w:rFonts w:ascii="Cambria Math"/>
          <w:b/>
          <w:sz w:val="28"/>
        </w:rPr>
        <w:t>abstract</w:t>
      </w:r>
      <w:r>
        <w:rPr>
          <w:rFonts w:ascii="Cambria Math"/>
          <w:b/>
          <w:spacing w:val="11"/>
          <w:sz w:val="28"/>
        </w:rPr>
        <w:t xml:space="preserve"> </w:t>
      </w:r>
      <w:proofErr w:type="gramStart"/>
      <w:r>
        <w:rPr>
          <w:rFonts w:ascii="Cambria Math"/>
          <w:b/>
          <w:spacing w:val="-2"/>
          <w:sz w:val="28"/>
        </w:rPr>
        <w:t>submission</w:t>
      </w:r>
      <w:proofErr w:type="gramEnd"/>
    </w:p>
    <w:p w14:paraId="472F768A" w14:textId="0C8FA876" w:rsidR="009309ED" w:rsidRDefault="00000000" w:rsidP="00974C0E">
      <w:pPr>
        <w:pStyle w:val="Title"/>
        <w:spacing w:before="42"/>
        <w:ind w:left="660"/>
      </w:pPr>
      <w:r>
        <w:rPr>
          <w:color w:val="FF0000"/>
          <w:position w:val="9"/>
          <w:sz w:val="23"/>
        </w:rPr>
        <w:t>*</w:t>
      </w:r>
      <w:r w:rsidR="00974C0E" w:rsidRPr="00974C0E">
        <w:rPr>
          <w:color w:val="006FC0"/>
        </w:rPr>
        <w:t>Middle meningeal artery embolization for chronic subdural hematoma in a young patient with refractory thrombocytopenia secondary to leukemia: more evidence for a paradigm shift</w:t>
      </w:r>
    </w:p>
    <w:p w14:paraId="02E3721D" w14:textId="77777777" w:rsidR="009309ED" w:rsidRDefault="009309ED">
      <w:pPr>
        <w:pStyle w:val="BodyText"/>
        <w:spacing w:before="2"/>
        <w:rPr>
          <w:rFonts w:ascii="Cambria Math"/>
          <w:b/>
          <w:sz w:val="43"/>
        </w:rPr>
      </w:pPr>
    </w:p>
    <w:p w14:paraId="27293B00" w14:textId="65536AA6" w:rsidR="00974C0E" w:rsidRDefault="00974C0E">
      <w:pPr>
        <w:pStyle w:val="BodyText"/>
        <w:ind w:left="220"/>
        <w:rPr>
          <w:b/>
          <w:color w:val="FF0000"/>
          <w:position w:val="6"/>
          <w:sz w:val="12"/>
        </w:rPr>
      </w:pPr>
    </w:p>
    <w:p w14:paraId="6A9D7E2D" w14:textId="2A2AEBBD" w:rsidR="009309ED" w:rsidRDefault="00974C0E">
      <w:pPr>
        <w:pStyle w:val="BodyText"/>
        <w:ind w:left="220"/>
      </w:pPr>
      <w:r>
        <w:t xml:space="preserve">Dr </w:t>
      </w:r>
      <w:proofErr w:type="spellStart"/>
      <w:r>
        <w:t>Emalee</w:t>
      </w:r>
      <w:proofErr w:type="spellEnd"/>
      <w:r>
        <w:t xml:space="preserve"> Burrows, MBBS, </w:t>
      </w:r>
      <w:r w:rsidRPr="00974C0E">
        <w:t xml:space="preserve">Neurosurgical Service of Western Australia, </w:t>
      </w:r>
      <w:r>
        <w:t>SCGH</w:t>
      </w:r>
      <w:r w:rsidRPr="00974C0E">
        <w:t>, Perth, Western Australia, Australi</w:t>
      </w:r>
      <w:r>
        <w:t>a</w:t>
      </w:r>
    </w:p>
    <w:p w14:paraId="675ED97A" w14:textId="2B505150" w:rsidR="00974C0E" w:rsidRDefault="00974C0E" w:rsidP="000E4836">
      <w:pPr>
        <w:pStyle w:val="BodyText"/>
        <w:ind w:left="220"/>
      </w:pPr>
      <w:r>
        <w:t xml:space="preserve">Seng </w:t>
      </w:r>
      <w:proofErr w:type="spellStart"/>
      <w:r>
        <w:t>Chye</w:t>
      </w:r>
      <w:proofErr w:type="spellEnd"/>
      <w:r>
        <w:t xml:space="preserve"> Lee, </w:t>
      </w:r>
      <w:r>
        <w:t xml:space="preserve">MBBS, </w:t>
      </w:r>
      <w:r w:rsidRPr="00974C0E">
        <w:t xml:space="preserve">Neurosurgical Service of Western Australia, </w:t>
      </w:r>
      <w:r>
        <w:t>SCGH</w:t>
      </w:r>
      <w:r w:rsidRPr="00974C0E">
        <w:t>, Perth, Western Australia, Australi</w:t>
      </w:r>
      <w:r>
        <w:t>a</w:t>
      </w:r>
    </w:p>
    <w:p w14:paraId="57C26364" w14:textId="0FEB7CBB" w:rsidR="00974C0E" w:rsidRDefault="00974C0E" w:rsidP="00974C0E">
      <w:pPr>
        <w:pStyle w:val="BodyText"/>
        <w:ind w:left="220"/>
      </w:pPr>
      <w:r>
        <w:t xml:space="preserve">Omar K. Bangash, </w:t>
      </w:r>
      <w:r>
        <w:t xml:space="preserve">MBBS, </w:t>
      </w:r>
      <w:r w:rsidRPr="00974C0E">
        <w:t xml:space="preserve">Neurosurgical Service of Western Australia, </w:t>
      </w:r>
      <w:r>
        <w:t>SCGH</w:t>
      </w:r>
      <w:r w:rsidRPr="00974C0E">
        <w:t>, Perth, Western Australia, Australi</w:t>
      </w:r>
      <w:r>
        <w:t>a</w:t>
      </w:r>
    </w:p>
    <w:p w14:paraId="669974D2" w14:textId="434C3D02" w:rsidR="00974C0E" w:rsidRDefault="00974C0E" w:rsidP="000E4836">
      <w:pPr>
        <w:pStyle w:val="BodyText"/>
        <w:ind w:left="220"/>
      </w:pPr>
      <w:r>
        <w:t xml:space="preserve">Timothy J. Phillips, </w:t>
      </w:r>
      <w:r>
        <w:t>MBBS,</w:t>
      </w:r>
      <w:r>
        <w:t xml:space="preserve"> CCINR,</w:t>
      </w:r>
      <w:r>
        <w:t xml:space="preserve"> </w:t>
      </w:r>
      <w:r w:rsidRPr="00974C0E">
        <w:t xml:space="preserve">Neurosurgical Service of Western Australia, </w:t>
      </w:r>
      <w:r>
        <w:t>SCGH</w:t>
      </w:r>
      <w:r w:rsidRPr="00974C0E">
        <w:t>, Perth, Western Australia, Australi</w:t>
      </w:r>
      <w:r>
        <w:t>a</w:t>
      </w:r>
    </w:p>
    <w:p w14:paraId="02B9BF9B" w14:textId="65447E13" w:rsidR="00974C0E" w:rsidRDefault="00974C0E" w:rsidP="00974C0E">
      <w:pPr>
        <w:pStyle w:val="BodyText"/>
        <w:ind w:left="220"/>
      </w:pPr>
      <w:r>
        <w:t xml:space="preserve">Sharon Lee, </w:t>
      </w:r>
      <w:r>
        <w:t xml:space="preserve">MBBS, </w:t>
      </w:r>
      <w:r w:rsidRPr="00974C0E">
        <w:t xml:space="preserve">Neurosurgical Service of Western Australia, </w:t>
      </w:r>
      <w:r>
        <w:t>SCGH</w:t>
      </w:r>
      <w:r w:rsidRPr="00974C0E">
        <w:t>, Perth, Western Australia, Australi</w:t>
      </w:r>
      <w:r>
        <w:t>a</w:t>
      </w:r>
    </w:p>
    <w:p w14:paraId="5ACE9950" w14:textId="77777777" w:rsidR="009309ED" w:rsidRDefault="009309ED">
      <w:pPr>
        <w:pStyle w:val="BodyText"/>
        <w:spacing w:before="5"/>
      </w:pPr>
    </w:p>
    <w:p w14:paraId="42DC800F" w14:textId="77777777" w:rsidR="009309ED" w:rsidRDefault="009309ED">
      <w:pPr>
        <w:sectPr w:rsidR="009309ED">
          <w:type w:val="continuous"/>
          <w:pgSz w:w="11920" w:h="16850"/>
          <w:pgMar w:top="600" w:right="600" w:bottom="280" w:left="500" w:header="720" w:footer="720" w:gutter="0"/>
          <w:cols w:space="720"/>
        </w:sectPr>
      </w:pPr>
    </w:p>
    <w:p w14:paraId="20298BCE" w14:textId="6CECB7F3" w:rsidR="009309ED" w:rsidRDefault="00000000">
      <w:pPr>
        <w:pStyle w:val="Heading1"/>
        <w:spacing w:before="165"/>
        <w:ind w:left="220"/>
        <w:jc w:val="both"/>
      </w:pPr>
      <w:r>
        <w:rPr>
          <w:color w:val="BE5A13"/>
        </w:rPr>
        <w:t>Abstract</w:t>
      </w:r>
      <w:r>
        <w:rPr>
          <w:color w:val="BE5A13"/>
          <w:spacing w:val="-11"/>
        </w:rPr>
        <w:t xml:space="preserve"> </w:t>
      </w:r>
    </w:p>
    <w:p w14:paraId="4716B2A8" w14:textId="5E48950B" w:rsidR="00724AB8" w:rsidRDefault="00724AB8" w:rsidP="00724AB8">
      <w:pPr>
        <w:pStyle w:val="BodyText"/>
        <w:spacing w:before="77" w:line="264" w:lineRule="auto"/>
        <w:ind w:left="220"/>
        <w:jc w:val="both"/>
        <w:rPr>
          <w:spacing w:val="-2"/>
        </w:rPr>
      </w:pPr>
      <w:r>
        <w:rPr>
          <w:b/>
          <w:bCs/>
          <w:spacing w:val="-2"/>
        </w:rPr>
        <w:t>T</w:t>
      </w:r>
      <w:r w:rsidR="00000000" w:rsidRPr="00724AB8">
        <w:rPr>
          <w:b/>
          <w:bCs/>
          <w:spacing w:val="-2"/>
        </w:rPr>
        <w:t>he</w:t>
      </w:r>
      <w:r w:rsidR="00000000" w:rsidRPr="00724AB8">
        <w:rPr>
          <w:b/>
          <w:bCs/>
          <w:spacing w:val="-11"/>
        </w:rPr>
        <w:t xml:space="preserve"> </w:t>
      </w:r>
      <w:r w:rsidR="00000000" w:rsidRPr="00724AB8">
        <w:rPr>
          <w:b/>
          <w:bCs/>
          <w:spacing w:val="-2"/>
        </w:rPr>
        <w:t>Problem</w:t>
      </w:r>
      <w:r w:rsidRPr="00724AB8">
        <w:rPr>
          <w:b/>
          <w:bCs/>
          <w:spacing w:val="-2"/>
        </w:rPr>
        <w:t>:</w:t>
      </w:r>
      <w:r w:rsidRPr="00724AB8">
        <w:t xml:space="preserve"> </w:t>
      </w:r>
      <w:r w:rsidRPr="00724AB8">
        <w:rPr>
          <w:spacing w:val="-2"/>
        </w:rPr>
        <w:t>Chronic subdural hematoma (CSDH) is one of the most common neurosurgical presentations, with an increasing number now also presenting with concurrent thrombocytopenia. Although middle meningeal artery (MMA) embolization has been considered in elderly patients with high comorbidities, it may permit treatment of CSDH in patients who are at high risk for recurrence or deemed unsuitable for surgical management due to thrombocytopenia.</w:t>
      </w:r>
    </w:p>
    <w:p w14:paraId="20E624DB" w14:textId="5C02D355" w:rsidR="00724AB8" w:rsidRPr="00724AB8" w:rsidRDefault="00724AB8" w:rsidP="00724AB8">
      <w:pPr>
        <w:pStyle w:val="Heading1"/>
        <w:spacing w:before="93"/>
        <w:ind w:left="196"/>
        <w:rPr>
          <w:b w:val="0"/>
          <w:bCs w:val="0"/>
          <w:spacing w:val="-2"/>
          <w:sz w:val="18"/>
          <w:szCs w:val="18"/>
        </w:rPr>
      </w:pPr>
      <w:r w:rsidRPr="00724AB8">
        <w:rPr>
          <w:spacing w:val="-2"/>
          <w:sz w:val="18"/>
          <w:szCs w:val="18"/>
        </w:rPr>
        <w:t>Observations:</w:t>
      </w:r>
      <w:r w:rsidRPr="00724AB8">
        <w:rPr>
          <w:b w:val="0"/>
          <w:bCs w:val="0"/>
          <w:spacing w:val="-2"/>
          <w:sz w:val="18"/>
          <w:szCs w:val="18"/>
        </w:rPr>
        <w:t xml:space="preserve"> A 35-year-old man who had severe thrombocytopenia due to blast cell crisis with chronic myeloid leukemia developed an atraumatic CSDH. The patient developed severe headaches in the hospital while being treated for febrile neutropenia. He remained neurologically intact. MMA embolization was undertaken due to the morbidity and mortality risks associated with surgery and the high risk of recurrence due to severe thrombocytopenia. At 2 months post-procedure the patient was asymptomatic and there was almost complete resolution of the hematoma.</w:t>
      </w:r>
    </w:p>
    <w:p w14:paraId="135D15A9" w14:textId="661DBB9A" w:rsidR="009309ED" w:rsidRDefault="00724AB8" w:rsidP="00724AB8">
      <w:pPr>
        <w:pStyle w:val="Heading1"/>
        <w:spacing w:before="93"/>
        <w:ind w:left="196"/>
        <w:rPr>
          <w:b w:val="0"/>
          <w:bCs w:val="0"/>
          <w:spacing w:val="-2"/>
          <w:sz w:val="18"/>
          <w:szCs w:val="18"/>
        </w:rPr>
      </w:pPr>
      <w:r w:rsidRPr="00724AB8">
        <w:rPr>
          <w:spacing w:val="-2"/>
          <w:sz w:val="18"/>
          <w:szCs w:val="18"/>
        </w:rPr>
        <w:t>Lessons:</w:t>
      </w:r>
      <w:r w:rsidRPr="00724AB8">
        <w:rPr>
          <w:b w:val="0"/>
          <w:bCs w:val="0"/>
          <w:spacing w:val="-2"/>
          <w:sz w:val="18"/>
          <w:szCs w:val="18"/>
        </w:rPr>
        <w:t xml:space="preserve"> Thrombocytopenia in the presence of a CSDH is becoming increasingly common. This case highlights the </w:t>
      </w:r>
      <w:proofErr w:type="gramStart"/>
      <w:r w:rsidRPr="00724AB8">
        <w:rPr>
          <w:b w:val="0"/>
          <w:bCs w:val="0"/>
          <w:spacing w:val="-2"/>
          <w:sz w:val="18"/>
          <w:szCs w:val="18"/>
        </w:rPr>
        <w:t>particular role</w:t>
      </w:r>
      <w:proofErr w:type="gramEnd"/>
      <w:r w:rsidRPr="00724AB8">
        <w:rPr>
          <w:b w:val="0"/>
          <w:bCs w:val="0"/>
          <w:spacing w:val="-2"/>
          <w:sz w:val="18"/>
          <w:szCs w:val="18"/>
        </w:rPr>
        <w:t xml:space="preserve"> of MMA embolization in patients with severe thrombocytopenia where surgery carries high morbidity and increased mortality.</w:t>
      </w:r>
    </w:p>
    <w:p w14:paraId="44468AAF" w14:textId="623D278E" w:rsidR="00724AB8" w:rsidRDefault="00724AB8" w:rsidP="00724AB8">
      <w:pPr>
        <w:pStyle w:val="Heading1"/>
        <w:spacing w:before="93"/>
        <w:rPr>
          <w:b w:val="0"/>
          <w:bCs w:val="0"/>
          <w:spacing w:val="-2"/>
          <w:sz w:val="18"/>
          <w:szCs w:val="18"/>
        </w:rPr>
      </w:pPr>
    </w:p>
    <w:p w14:paraId="0D24FCBE" w14:textId="77777777" w:rsidR="00724AB8" w:rsidRDefault="00724AB8" w:rsidP="00724AB8">
      <w:pPr>
        <w:pStyle w:val="Heading1"/>
        <w:spacing w:before="93"/>
        <w:rPr>
          <w:b w:val="0"/>
          <w:bCs w:val="0"/>
          <w:spacing w:val="-2"/>
          <w:sz w:val="18"/>
          <w:szCs w:val="18"/>
        </w:rPr>
      </w:pPr>
    </w:p>
    <w:p w14:paraId="780DF749" w14:textId="77777777" w:rsidR="00724AB8" w:rsidRDefault="00724AB8" w:rsidP="00724AB8">
      <w:pPr>
        <w:pStyle w:val="Heading1"/>
        <w:spacing w:before="93"/>
        <w:rPr>
          <w:b w:val="0"/>
          <w:bCs w:val="0"/>
          <w:spacing w:val="-2"/>
          <w:sz w:val="18"/>
          <w:szCs w:val="18"/>
        </w:rPr>
      </w:pPr>
    </w:p>
    <w:p w14:paraId="5A17BD9C" w14:textId="77777777" w:rsidR="00724AB8" w:rsidRDefault="00724AB8" w:rsidP="00724AB8">
      <w:pPr>
        <w:pStyle w:val="Heading1"/>
        <w:spacing w:before="93"/>
        <w:rPr>
          <w:b w:val="0"/>
          <w:bCs w:val="0"/>
          <w:spacing w:val="-2"/>
          <w:sz w:val="18"/>
          <w:szCs w:val="18"/>
        </w:rPr>
      </w:pPr>
    </w:p>
    <w:p w14:paraId="20EEE949" w14:textId="77777777" w:rsidR="00724AB8" w:rsidRDefault="00724AB8" w:rsidP="00724AB8">
      <w:pPr>
        <w:pStyle w:val="Heading1"/>
        <w:spacing w:before="93"/>
        <w:rPr>
          <w:b w:val="0"/>
          <w:bCs w:val="0"/>
          <w:spacing w:val="-2"/>
          <w:sz w:val="18"/>
          <w:szCs w:val="18"/>
        </w:rPr>
      </w:pPr>
    </w:p>
    <w:p w14:paraId="0D01E8DE" w14:textId="77777777" w:rsidR="00724AB8" w:rsidRDefault="00724AB8" w:rsidP="00724AB8">
      <w:pPr>
        <w:pStyle w:val="Heading1"/>
        <w:spacing w:before="93"/>
        <w:rPr>
          <w:b w:val="0"/>
          <w:bCs w:val="0"/>
          <w:spacing w:val="-2"/>
          <w:sz w:val="18"/>
          <w:szCs w:val="18"/>
        </w:rPr>
      </w:pPr>
    </w:p>
    <w:p w14:paraId="05A66E6E" w14:textId="77777777" w:rsidR="00724AB8" w:rsidRDefault="00724AB8" w:rsidP="00724AB8">
      <w:pPr>
        <w:pStyle w:val="Heading1"/>
        <w:spacing w:before="93"/>
        <w:rPr>
          <w:b w:val="0"/>
          <w:bCs w:val="0"/>
          <w:spacing w:val="-2"/>
          <w:sz w:val="18"/>
          <w:szCs w:val="18"/>
        </w:rPr>
      </w:pPr>
    </w:p>
    <w:p w14:paraId="287A838C" w14:textId="77777777" w:rsidR="00724AB8" w:rsidRDefault="00724AB8" w:rsidP="00724AB8">
      <w:pPr>
        <w:pStyle w:val="Heading1"/>
        <w:spacing w:before="93"/>
        <w:rPr>
          <w:b w:val="0"/>
          <w:bCs w:val="0"/>
          <w:spacing w:val="-2"/>
          <w:sz w:val="18"/>
          <w:szCs w:val="18"/>
        </w:rPr>
      </w:pPr>
    </w:p>
    <w:p w14:paraId="6E81E0DE" w14:textId="77777777" w:rsidR="00724AB8" w:rsidRDefault="00724AB8" w:rsidP="00724AB8">
      <w:pPr>
        <w:pStyle w:val="Heading1"/>
        <w:spacing w:before="93"/>
        <w:rPr>
          <w:b w:val="0"/>
          <w:bCs w:val="0"/>
          <w:spacing w:val="-2"/>
          <w:sz w:val="18"/>
          <w:szCs w:val="18"/>
        </w:rPr>
      </w:pPr>
    </w:p>
    <w:p w14:paraId="1E47DE23" w14:textId="77777777" w:rsidR="00724AB8" w:rsidRDefault="00724AB8" w:rsidP="00724AB8">
      <w:pPr>
        <w:pStyle w:val="Heading1"/>
        <w:spacing w:before="93"/>
        <w:rPr>
          <w:b w:val="0"/>
          <w:bCs w:val="0"/>
          <w:spacing w:val="-2"/>
          <w:sz w:val="18"/>
          <w:szCs w:val="18"/>
        </w:rPr>
      </w:pPr>
    </w:p>
    <w:p w14:paraId="5F8AF4EE" w14:textId="77777777" w:rsidR="00724AB8" w:rsidRDefault="00724AB8" w:rsidP="00724AB8">
      <w:pPr>
        <w:pStyle w:val="Heading1"/>
        <w:spacing w:before="93"/>
        <w:rPr>
          <w:b w:val="0"/>
          <w:bCs w:val="0"/>
          <w:spacing w:val="-2"/>
          <w:sz w:val="18"/>
          <w:szCs w:val="18"/>
        </w:rPr>
      </w:pPr>
    </w:p>
    <w:p w14:paraId="554EA67D" w14:textId="77777777" w:rsidR="00724AB8" w:rsidRDefault="00724AB8" w:rsidP="00724AB8">
      <w:pPr>
        <w:pStyle w:val="Heading1"/>
        <w:spacing w:before="93"/>
        <w:rPr>
          <w:b w:val="0"/>
          <w:bCs w:val="0"/>
          <w:spacing w:val="-2"/>
          <w:sz w:val="18"/>
          <w:szCs w:val="18"/>
        </w:rPr>
      </w:pPr>
    </w:p>
    <w:p w14:paraId="067ED9BE" w14:textId="77777777" w:rsidR="00724AB8" w:rsidRDefault="00724AB8" w:rsidP="00724AB8">
      <w:pPr>
        <w:pStyle w:val="Heading1"/>
        <w:spacing w:before="93"/>
        <w:rPr>
          <w:b w:val="0"/>
          <w:bCs w:val="0"/>
          <w:spacing w:val="-2"/>
          <w:sz w:val="18"/>
          <w:szCs w:val="18"/>
        </w:rPr>
      </w:pPr>
    </w:p>
    <w:p w14:paraId="6FF28FAF" w14:textId="77777777" w:rsidR="00724AB8" w:rsidRDefault="00724AB8">
      <w:pPr>
        <w:pStyle w:val="BodyText"/>
        <w:spacing w:before="4"/>
        <w:rPr>
          <w:spacing w:val="-2"/>
        </w:rPr>
      </w:pPr>
    </w:p>
    <w:p w14:paraId="68964D46" w14:textId="54B15572" w:rsidR="00724AB8" w:rsidRDefault="00724AB8">
      <w:pPr>
        <w:pStyle w:val="BodyText"/>
        <w:spacing w:before="4"/>
        <w:rPr>
          <w:spacing w:val="-2"/>
        </w:rPr>
      </w:pPr>
      <w:r w:rsidRPr="00724AB8">
        <w:rPr>
          <w:b/>
          <w:color w:val="BE5A13"/>
          <w:sz w:val="20"/>
          <w:szCs w:val="22"/>
        </w:rPr>
        <w:t xml:space="preserve">Image: </w:t>
      </w:r>
      <w:r w:rsidRPr="00724AB8">
        <w:rPr>
          <w:spacing w:val="-2"/>
        </w:rPr>
        <w:t>Postoperative CT images of the brain at 1-week postembolization (left) with a reduction in midline shift from 14 mm to 9 mm and at the 1-month follow up (right) with complete resolution of CSDH.</w:t>
      </w:r>
    </w:p>
    <w:p w14:paraId="75174D8A" w14:textId="77777777" w:rsidR="00724AB8" w:rsidRDefault="00724AB8">
      <w:pPr>
        <w:pStyle w:val="BodyText"/>
        <w:spacing w:before="4"/>
        <w:rPr>
          <w:spacing w:val="-2"/>
        </w:rPr>
      </w:pPr>
    </w:p>
    <w:p w14:paraId="7514A59F" w14:textId="3D4ABC2A" w:rsidR="009309ED" w:rsidRPr="00724AB8" w:rsidRDefault="00724AB8">
      <w:pPr>
        <w:pStyle w:val="BodyText"/>
        <w:spacing w:before="4"/>
        <w:rPr>
          <w:spacing w:val="-2"/>
        </w:rPr>
      </w:pPr>
      <w:r>
        <w:fldChar w:fldCharType="begin"/>
      </w:r>
      <w:r>
        <w:instrText xml:space="preserve"> INCLUDEPICTURE "/Users/emaleeburrows/Library/Group Containers/UBF8T346G9.ms/WebArchiveCopyPasteTempFiles/com.microsoft.Word/full-CASE22273f3.jpg" \* MERGEFORMATINET </w:instrText>
      </w:r>
      <w:r>
        <w:fldChar w:fldCharType="separate"/>
      </w:r>
      <w:r>
        <w:rPr>
          <w:noProof/>
        </w:rPr>
        <w:drawing>
          <wp:inline distT="0" distB="0" distL="0" distR="0" wp14:anchorId="61A2054F" wp14:editId="14F6B792">
            <wp:extent cx="3206750" cy="1946275"/>
            <wp:effectExtent l="0" t="0" r="6350" b="0"/>
            <wp:docPr id="4" name="Picture 4"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6750" cy="1946275"/>
                    </a:xfrm>
                    <a:prstGeom prst="rect">
                      <a:avLst/>
                    </a:prstGeom>
                    <a:noFill/>
                    <a:ln>
                      <a:noFill/>
                    </a:ln>
                  </pic:spPr>
                </pic:pic>
              </a:graphicData>
            </a:graphic>
          </wp:inline>
        </w:drawing>
      </w:r>
      <w:r>
        <w:fldChar w:fldCharType="end"/>
      </w:r>
    </w:p>
    <w:p w14:paraId="395DD645" w14:textId="6E7FBAA6" w:rsidR="00724AB8" w:rsidRPr="00724AB8" w:rsidRDefault="00000000" w:rsidP="00724AB8">
      <w:pPr>
        <w:spacing w:before="181"/>
        <w:ind w:left="96"/>
        <w:rPr>
          <w:b/>
          <w:sz w:val="20"/>
        </w:rPr>
      </w:pPr>
      <w:r>
        <w:rPr>
          <w:b/>
          <w:color w:val="BE5A13"/>
          <w:sz w:val="20"/>
        </w:rPr>
        <w:t>Recent</w:t>
      </w:r>
      <w:r>
        <w:rPr>
          <w:b/>
          <w:color w:val="BE5A13"/>
          <w:spacing w:val="-9"/>
          <w:sz w:val="20"/>
        </w:rPr>
        <w:t xml:space="preserve"> </w:t>
      </w:r>
      <w:r>
        <w:rPr>
          <w:b/>
          <w:color w:val="BE5A13"/>
          <w:sz w:val="20"/>
        </w:rPr>
        <w:t>Publications</w:t>
      </w:r>
    </w:p>
    <w:p w14:paraId="5FAC08D9" w14:textId="78A87C1C" w:rsidR="00724AB8" w:rsidRPr="00724AB8" w:rsidRDefault="00724AB8" w:rsidP="00724AB8">
      <w:pPr>
        <w:pStyle w:val="BodyText"/>
        <w:numPr>
          <w:ilvl w:val="0"/>
          <w:numId w:val="2"/>
        </w:numPr>
        <w:spacing w:before="240"/>
        <w:rPr>
          <w:spacing w:val="-2"/>
        </w:rPr>
      </w:pPr>
      <w:r w:rsidRPr="00724AB8">
        <w:rPr>
          <w:spacing w:val="-2"/>
        </w:rPr>
        <w:t xml:space="preserve">Fiorella D, Arthur AS. Middle meningeal artery embolization for the management of chronic subdural hematoma. J </w:t>
      </w:r>
      <w:proofErr w:type="spellStart"/>
      <w:r w:rsidRPr="00724AB8">
        <w:rPr>
          <w:spacing w:val="-2"/>
        </w:rPr>
        <w:t>Neurointerv</w:t>
      </w:r>
      <w:proofErr w:type="spellEnd"/>
      <w:r w:rsidRPr="00724AB8">
        <w:rPr>
          <w:spacing w:val="-2"/>
        </w:rPr>
        <w:t xml:space="preserve"> Surg. 2019;11(9):912–915.</w:t>
      </w:r>
    </w:p>
    <w:p w14:paraId="50EBAAFF" w14:textId="50FAD8A4" w:rsidR="00724AB8" w:rsidRPr="00724AB8" w:rsidRDefault="00724AB8" w:rsidP="00724AB8">
      <w:pPr>
        <w:pStyle w:val="BodyText"/>
        <w:numPr>
          <w:ilvl w:val="0"/>
          <w:numId w:val="2"/>
        </w:numPr>
        <w:spacing w:before="240"/>
        <w:rPr>
          <w:spacing w:val="-2"/>
        </w:rPr>
      </w:pPr>
      <w:r w:rsidRPr="00724AB8">
        <w:rPr>
          <w:spacing w:val="-2"/>
        </w:rPr>
        <w:t xml:space="preserve">Fiorella D, Arthur AS. Middle meningeal artery embolization for the management of chronic subdural hematoma. J </w:t>
      </w:r>
      <w:proofErr w:type="spellStart"/>
      <w:r w:rsidRPr="00724AB8">
        <w:rPr>
          <w:spacing w:val="-2"/>
        </w:rPr>
        <w:t>Neurointerv</w:t>
      </w:r>
      <w:proofErr w:type="spellEnd"/>
      <w:r w:rsidRPr="00724AB8">
        <w:rPr>
          <w:spacing w:val="-2"/>
        </w:rPr>
        <w:t xml:space="preserve"> Surg. 2019;11(9):912–915.</w:t>
      </w:r>
    </w:p>
    <w:p w14:paraId="6F0EC78A" w14:textId="076C0B90" w:rsidR="00724AB8" w:rsidRPr="00724AB8" w:rsidRDefault="00724AB8" w:rsidP="00724AB8">
      <w:pPr>
        <w:pStyle w:val="BodyText"/>
        <w:numPr>
          <w:ilvl w:val="0"/>
          <w:numId w:val="2"/>
        </w:numPr>
        <w:spacing w:before="240"/>
        <w:rPr>
          <w:spacing w:val="-2"/>
        </w:rPr>
      </w:pPr>
      <w:proofErr w:type="spellStart"/>
      <w:r w:rsidRPr="00724AB8">
        <w:rPr>
          <w:spacing w:val="-2"/>
        </w:rPr>
        <w:t>Cannarsa</w:t>
      </w:r>
      <w:proofErr w:type="spellEnd"/>
      <w:r w:rsidRPr="00724AB8">
        <w:rPr>
          <w:spacing w:val="-2"/>
        </w:rPr>
        <w:t xml:space="preserve"> G, </w:t>
      </w:r>
      <w:proofErr w:type="spellStart"/>
      <w:r w:rsidRPr="00724AB8">
        <w:rPr>
          <w:spacing w:val="-2"/>
        </w:rPr>
        <w:t>Olexa</w:t>
      </w:r>
      <w:proofErr w:type="spellEnd"/>
      <w:r w:rsidRPr="00724AB8">
        <w:rPr>
          <w:spacing w:val="-2"/>
        </w:rPr>
        <w:t xml:space="preserve"> J, </w:t>
      </w:r>
      <w:proofErr w:type="spellStart"/>
      <w:r w:rsidRPr="00724AB8">
        <w:rPr>
          <w:spacing w:val="-2"/>
        </w:rPr>
        <w:t>Chryssikos</w:t>
      </w:r>
      <w:proofErr w:type="spellEnd"/>
      <w:r w:rsidRPr="00724AB8">
        <w:rPr>
          <w:spacing w:val="-2"/>
        </w:rPr>
        <w:t xml:space="preserve"> T et al. Stand-alone middle meningeal artery embolization for treatment of giant chronic subdural hematoma in elderly frail patients: a case series. </w:t>
      </w:r>
      <w:proofErr w:type="spellStart"/>
      <w:r w:rsidRPr="00724AB8">
        <w:rPr>
          <w:spacing w:val="-2"/>
        </w:rPr>
        <w:t>Neurosurg</w:t>
      </w:r>
      <w:proofErr w:type="spellEnd"/>
      <w:r w:rsidRPr="00724AB8">
        <w:rPr>
          <w:spacing w:val="-2"/>
        </w:rPr>
        <w:t xml:space="preserve"> Open. 2021;2(1</w:t>
      </w:r>
      <w:proofErr w:type="gramStart"/>
      <w:r w:rsidRPr="00724AB8">
        <w:rPr>
          <w:spacing w:val="-2"/>
        </w:rPr>
        <w:t>):okaa</w:t>
      </w:r>
      <w:proofErr w:type="gramEnd"/>
      <w:r w:rsidRPr="00724AB8">
        <w:rPr>
          <w:spacing w:val="-2"/>
        </w:rPr>
        <w:t>025. 10.1093/</w:t>
      </w:r>
      <w:proofErr w:type="spellStart"/>
      <w:r w:rsidRPr="00724AB8">
        <w:rPr>
          <w:spacing w:val="-2"/>
        </w:rPr>
        <w:t>neuopn</w:t>
      </w:r>
      <w:proofErr w:type="spellEnd"/>
      <w:r w:rsidRPr="00724AB8">
        <w:rPr>
          <w:spacing w:val="-2"/>
        </w:rPr>
        <w:t>/okaa025.</w:t>
      </w:r>
    </w:p>
    <w:p w14:paraId="07005469" w14:textId="68A13F31" w:rsidR="00724AB8" w:rsidRPr="00724AB8" w:rsidRDefault="00724AB8" w:rsidP="00724AB8">
      <w:pPr>
        <w:pStyle w:val="BodyText"/>
        <w:numPr>
          <w:ilvl w:val="0"/>
          <w:numId w:val="2"/>
        </w:numPr>
        <w:spacing w:before="240"/>
        <w:rPr>
          <w:spacing w:val="-2"/>
        </w:rPr>
      </w:pPr>
      <w:proofErr w:type="spellStart"/>
      <w:r w:rsidRPr="00724AB8">
        <w:rPr>
          <w:spacing w:val="-2"/>
        </w:rPr>
        <w:t>Srivatsan</w:t>
      </w:r>
      <w:proofErr w:type="spellEnd"/>
      <w:r w:rsidRPr="00724AB8">
        <w:rPr>
          <w:spacing w:val="-2"/>
        </w:rPr>
        <w:t xml:space="preserve"> A, Mohanty A, Nascimento FA, et al. Middle meningeal artery embolization for chronic subdural hematoma: meta-analysis and systematic review. World </w:t>
      </w:r>
      <w:proofErr w:type="spellStart"/>
      <w:r w:rsidRPr="00724AB8">
        <w:rPr>
          <w:spacing w:val="-2"/>
        </w:rPr>
        <w:t>Neurosurg</w:t>
      </w:r>
      <w:proofErr w:type="spellEnd"/>
      <w:r w:rsidRPr="00724AB8">
        <w:rPr>
          <w:spacing w:val="-2"/>
        </w:rPr>
        <w:t xml:space="preserve">. </w:t>
      </w:r>
      <w:proofErr w:type="gramStart"/>
      <w:r w:rsidRPr="00724AB8">
        <w:rPr>
          <w:spacing w:val="-2"/>
        </w:rPr>
        <w:t>2019;122:613</w:t>
      </w:r>
      <w:proofErr w:type="gramEnd"/>
      <w:r w:rsidRPr="00724AB8">
        <w:rPr>
          <w:spacing w:val="-2"/>
        </w:rPr>
        <w:t>–619</w:t>
      </w:r>
    </w:p>
    <w:p w14:paraId="32B30322" w14:textId="77777777" w:rsidR="00724AB8" w:rsidRDefault="00724AB8" w:rsidP="00724AB8">
      <w:pPr>
        <w:pStyle w:val="BodyText"/>
        <w:numPr>
          <w:ilvl w:val="0"/>
          <w:numId w:val="2"/>
        </w:numPr>
        <w:spacing w:before="240"/>
        <w:rPr>
          <w:spacing w:val="-2"/>
        </w:rPr>
      </w:pPr>
      <w:proofErr w:type="spellStart"/>
      <w:r w:rsidRPr="00724AB8">
        <w:rPr>
          <w:spacing w:val="-2"/>
        </w:rPr>
        <w:t>Feghali</w:t>
      </w:r>
      <w:proofErr w:type="spellEnd"/>
      <w:r w:rsidRPr="00724AB8">
        <w:rPr>
          <w:spacing w:val="-2"/>
        </w:rPr>
        <w:t xml:space="preserve"> J, Yang W, Huang J. Updates in chronic subdural hematoma: Epidemiology, etiology, pathogenesis, treatment, and outcome. World </w:t>
      </w:r>
      <w:proofErr w:type="spellStart"/>
      <w:r w:rsidRPr="00724AB8">
        <w:rPr>
          <w:spacing w:val="-2"/>
        </w:rPr>
        <w:t>Neurosurg</w:t>
      </w:r>
      <w:proofErr w:type="spellEnd"/>
      <w:r w:rsidRPr="00724AB8">
        <w:rPr>
          <w:spacing w:val="-2"/>
        </w:rPr>
        <w:t xml:space="preserve">. </w:t>
      </w:r>
      <w:proofErr w:type="gramStart"/>
      <w:r w:rsidRPr="00724AB8">
        <w:rPr>
          <w:spacing w:val="-2"/>
        </w:rPr>
        <w:t>2020;141:339</w:t>
      </w:r>
      <w:proofErr w:type="gramEnd"/>
      <w:r w:rsidRPr="00724AB8">
        <w:rPr>
          <w:spacing w:val="-2"/>
        </w:rPr>
        <w:t>–345.</w:t>
      </w:r>
    </w:p>
    <w:p w14:paraId="188BF1AA" w14:textId="77777777" w:rsidR="00724AB8" w:rsidRDefault="00724AB8" w:rsidP="00724AB8">
      <w:pPr>
        <w:pStyle w:val="BodyText"/>
        <w:spacing w:before="4"/>
        <w:rPr>
          <w:spacing w:val="-2"/>
        </w:rPr>
      </w:pPr>
    </w:p>
    <w:p w14:paraId="2F198002" w14:textId="77777777" w:rsidR="009309ED" w:rsidRDefault="009309ED">
      <w:pPr>
        <w:spacing w:line="235" w:lineRule="auto"/>
        <w:jc w:val="both"/>
        <w:rPr>
          <w:sz w:val="18"/>
        </w:rPr>
        <w:sectPr w:rsidR="009309ED">
          <w:type w:val="continuous"/>
          <w:pgSz w:w="11920" w:h="16850"/>
          <w:pgMar w:top="600" w:right="600" w:bottom="280" w:left="500" w:header="720" w:footer="720" w:gutter="0"/>
          <w:cols w:num="2" w:space="720" w:equalWidth="0">
            <w:col w:w="5337" w:space="40"/>
            <w:col w:w="5443"/>
          </w:cols>
        </w:sectPr>
      </w:pPr>
    </w:p>
    <w:p w14:paraId="005091BD" w14:textId="77777777" w:rsidR="009309ED" w:rsidRDefault="009309ED">
      <w:pPr>
        <w:pStyle w:val="BodyText"/>
        <w:spacing w:before="8"/>
        <w:rPr>
          <w:rFonts w:ascii="Calibri"/>
          <w:sz w:val="29"/>
        </w:rPr>
      </w:pPr>
    </w:p>
    <w:p w14:paraId="2DF3BE4D" w14:textId="6647696C" w:rsidR="009309ED" w:rsidRDefault="00000000">
      <w:pPr>
        <w:pStyle w:val="Heading1"/>
        <w:ind w:left="255"/>
        <w:rPr>
          <w:rFonts w:ascii="Calibri"/>
        </w:rPr>
      </w:pPr>
      <w:r>
        <w:rPr>
          <w:rFonts w:ascii="Calibri"/>
          <w:spacing w:val="-2"/>
        </w:rPr>
        <w:lastRenderedPageBreak/>
        <w:t>Photograph</w:t>
      </w:r>
    </w:p>
    <w:p w14:paraId="7AD8641E" w14:textId="48E63C6F" w:rsidR="009309ED" w:rsidRDefault="00936D7A">
      <w:pPr>
        <w:pStyle w:val="BodyText"/>
        <w:spacing w:before="7"/>
        <w:rPr>
          <w:rFonts w:ascii="Calibri"/>
          <w:b/>
          <w:sz w:val="8"/>
        </w:rPr>
      </w:pPr>
      <w:r>
        <w:rPr>
          <w:rFonts w:ascii="Calibri"/>
          <w:b/>
          <w:noProof/>
          <w:sz w:val="8"/>
        </w:rPr>
        <w:drawing>
          <wp:inline distT="0" distB="0" distL="0" distR="0" wp14:anchorId="43A9501C" wp14:editId="7A108190">
            <wp:extent cx="1541417" cy="1837551"/>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7543" cy="1892539"/>
                    </a:xfrm>
                    <a:prstGeom prst="rect">
                      <a:avLst/>
                    </a:prstGeom>
                  </pic:spPr>
                </pic:pic>
              </a:graphicData>
            </a:graphic>
          </wp:inline>
        </w:drawing>
      </w:r>
    </w:p>
    <w:p w14:paraId="5A85BA73" w14:textId="1292D867" w:rsidR="009309ED" w:rsidRDefault="00000000">
      <w:pPr>
        <w:spacing w:before="87"/>
        <w:ind w:left="265"/>
      </w:pPr>
      <w:r>
        <w:rPr>
          <w:color w:val="BE5A13"/>
        </w:rPr>
        <w:t>Biography</w:t>
      </w:r>
      <w:r>
        <w:rPr>
          <w:color w:val="BE5A13"/>
          <w:spacing w:val="-8"/>
        </w:rPr>
        <w:t xml:space="preserve"> </w:t>
      </w:r>
    </w:p>
    <w:p w14:paraId="7F834332" w14:textId="7D77F74F" w:rsidR="00936D7A" w:rsidRDefault="00936D7A">
      <w:pPr>
        <w:spacing w:before="42" w:line="228" w:lineRule="auto"/>
        <w:ind w:left="332" w:right="207"/>
        <w:jc w:val="both"/>
        <w:rPr>
          <w:sz w:val="14"/>
        </w:rPr>
      </w:pPr>
      <w:r>
        <w:rPr>
          <w:sz w:val="14"/>
        </w:rPr>
        <w:t xml:space="preserve">Dr </w:t>
      </w:r>
      <w:proofErr w:type="spellStart"/>
      <w:r>
        <w:rPr>
          <w:sz w:val="14"/>
        </w:rPr>
        <w:t>Emalee</w:t>
      </w:r>
      <w:proofErr w:type="spellEnd"/>
      <w:r>
        <w:rPr>
          <w:sz w:val="14"/>
        </w:rPr>
        <w:t xml:space="preserve"> Burrows </w:t>
      </w:r>
      <w:r w:rsidR="00112E15">
        <w:rPr>
          <w:sz w:val="14"/>
        </w:rPr>
        <w:t xml:space="preserve">is a current resident at Sir Charles Gairdner Hospital </w:t>
      </w:r>
      <w:r w:rsidR="000E4836">
        <w:rPr>
          <w:sz w:val="14"/>
        </w:rPr>
        <w:t xml:space="preserve">Neurosurgical </w:t>
      </w:r>
      <w:r w:rsidR="003A3525">
        <w:rPr>
          <w:sz w:val="14"/>
        </w:rPr>
        <w:t>Department</w:t>
      </w:r>
      <w:r w:rsidR="000E4836">
        <w:rPr>
          <w:sz w:val="14"/>
        </w:rPr>
        <w:t xml:space="preserve"> </w:t>
      </w:r>
      <w:r w:rsidR="00112E15">
        <w:rPr>
          <w:sz w:val="14"/>
        </w:rPr>
        <w:t xml:space="preserve">in Perth Western Australia. She is on the education board for the </w:t>
      </w:r>
      <w:proofErr w:type="spellStart"/>
      <w:r w:rsidR="00112E15">
        <w:rPr>
          <w:sz w:val="14"/>
        </w:rPr>
        <w:t>Brainbook</w:t>
      </w:r>
      <w:proofErr w:type="spellEnd"/>
      <w:r w:rsidR="00112E15">
        <w:rPr>
          <w:sz w:val="14"/>
        </w:rPr>
        <w:t xml:space="preserve"> </w:t>
      </w:r>
      <w:r w:rsidR="003F4547">
        <w:rPr>
          <w:sz w:val="14"/>
        </w:rPr>
        <w:t xml:space="preserve">foundation, involved in enhancing neurosurgical education for medical students, medical </w:t>
      </w:r>
      <w:r w:rsidR="000E4836">
        <w:rPr>
          <w:sz w:val="14"/>
        </w:rPr>
        <w:t>professionals,</w:t>
      </w:r>
      <w:r w:rsidR="003F4547">
        <w:rPr>
          <w:sz w:val="14"/>
        </w:rPr>
        <w:t xml:space="preserve"> and the community alike. She has formerly been involved in </w:t>
      </w:r>
      <w:proofErr w:type="gramStart"/>
      <w:r w:rsidR="003F4547">
        <w:rPr>
          <w:sz w:val="14"/>
        </w:rPr>
        <w:t>a number of</w:t>
      </w:r>
      <w:proofErr w:type="gramEnd"/>
      <w:r w:rsidR="003F4547">
        <w:rPr>
          <w:sz w:val="14"/>
        </w:rPr>
        <w:t xml:space="preserve"> international trials, including the </w:t>
      </w:r>
      <w:proofErr w:type="spellStart"/>
      <w:r w:rsidR="003F4547">
        <w:rPr>
          <w:sz w:val="14"/>
        </w:rPr>
        <w:t>POSTVenTT</w:t>
      </w:r>
      <w:proofErr w:type="spellEnd"/>
      <w:r w:rsidR="003F4547">
        <w:rPr>
          <w:sz w:val="14"/>
        </w:rPr>
        <w:t xml:space="preserve"> trial, OPERAS and May Measurement Month. </w:t>
      </w:r>
      <w:r w:rsidR="000E4836">
        <w:rPr>
          <w:sz w:val="14"/>
        </w:rPr>
        <w:t xml:space="preserve">She earned first class </w:t>
      </w:r>
      <w:proofErr w:type="spellStart"/>
      <w:r w:rsidR="000E4836">
        <w:rPr>
          <w:sz w:val="14"/>
        </w:rPr>
        <w:t>honours</w:t>
      </w:r>
      <w:proofErr w:type="spellEnd"/>
      <w:r w:rsidR="000E4836">
        <w:rPr>
          <w:sz w:val="14"/>
        </w:rPr>
        <w:t xml:space="preserve"> in her medical </w:t>
      </w:r>
      <w:proofErr w:type="gramStart"/>
      <w:r w:rsidR="004A4C49">
        <w:rPr>
          <w:sz w:val="14"/>
        </w:rPr>
        <w:t>program</w:t>
      </w:r>
      <w:r w:rsidR="000E4836">
        <w:rPr>
          <w:sz w:val="14"/>
        </w:rPr>
        <w:t>, and</w:t>
      </w:r>
      <w:proofErr w:type="gramEnd"/>
      <w:r w:rsidR="000E4836">
        <w:rPr>
          <w:sz w:val="14"/>
        </w:rPr>
        <w:t xml:space="preserve"> </w:t>
      </w:r>
      <w:r w:rsidR="004A4C49">
        <w:rPr>
          <w:sz w:val="14"/>
        </w:rPr>
        <w:t>received</w:t>
      </w:r>
      <w:r w:rsidR="000E4836">
        <w:rPr>
          <w:sz w:val="14"/>
        </w:rPr>
        <w:t xml:space="preserve"> the Don Watts High Achievers Academic scholarship.</w:t>
      </w:r>
      <w:r w:rsidR="004A4C49">
        <w:rPr>
          <w:sz w:val="14"/>
        </w:rPr>
        <w:t xml:space="preserve"> She was involved in founding the Curtin Surgical Student Society and research program at Curtin Medical school. </w:t>
      </w:r>
    </w:p>
    <w:p w14:paraId="7FAF27FF" w14:textId="77777777" w:rsidR="009309ED" w:rsidRDefault="009309ED">
      <w:pPr>
        <w:pStyle w:val="BodyText"/>
        <w:rPr>
          <w:sz w:val="16"/>
        </w:rPr>
      </w:pPr>
    </w:p>
    <w:p w14:paraId="7D9E6C2D" w14:textId="77777777" w:rsidR="009309ED" w:rsidRDefault="009309ED">
      <w:pPr>
        <w:pStyle w:val="BodyText"/>
        <w:rPr>
          <w:sz w:val="14"/>
        </w:rPr>
      </w:pPr>
    </w:p>
    <w:p w14:paraId="41A8F501" w14:textId="5BC58EE8" w:rsidR="009309ED" w:rsidRDefault="00000000">
      <w:pPr>
        <w:ind w:left="119"/>
        <w:rPr>
          <w:rFonts w:ascii="Cambria Math"/>
          <w:sz w:val="20"/>
        </w:rPr>
      </w:pPr>
      <w:r>
        <w:rPr>
          <w:rFonts w:ascii="Cambria Math"/>
          <w:sz w:val="20"/>
        </w:rPr>
        <w:t>Name</w:t>
      </w:r>
      <w:r>
        <w:rPr>
          <w:rFonts w:ascii="Cambria Math"/>
          <w:spacing w:val="-5"/>
          <w:sz w:val="20"/>
        </w:rPr>
        <w:t xml:space="preserve"> </w:t>
      </w:r>
      <w:r>
        <w:rPr>
          <w:rFonts w:ascii="Cambria Math"/>
          <w:sz w:val="20"/>
        </w:rPr>
        <w:t>to</w:t>
      </w:r>
      <w:r>
        <w:rPr>
          <w:rFonts w:ascii="Cambria Math"/>
          <w:spacing w:val="-5"/>
          <w:sz w:val="20"/>
        </w:rPr>
        <w:t xml:space="preserve"> </w:t>
      </w:r>
      <w:r>
        <w:rPr>
          <w:rFonts w:ascii="Cambria Math"/>
          <w:sz w:val="20"/>
        </w:rPr>
        <w:t>be</w:t>
      </w:r>
      <w:r>
        <w:rPr>
          <w:rFonts w:ascii="Cambria Math"/>
          <w:spacing w:val="-3"/>
          <w:sz w:val="20"/>
        </w:rPr>
        <w:t xml:space="preserve"> </w:t>
      </w:r>
      <w:r>
        <w:rPr>
          <w:rFonts w:ascii="Cambria Math"/>
          <w:sz w:val="20"/>
        </w:rPr>
        <w:t>displayed</w:t>
      </w:r>
      <w:r>
        <w:rPr>
          <w:rFonts w:ascii="Cambria Math"/>
          <w:spacing w:val="-4"/>
          <w:sz w:val="20"/>
        </w:rPr>
        <w:t xml:space="preserve"> </w:t>
      </w:r>
      <w:r>
        <w:rPr>
          <w:rFonts w:ascii="Cambria Math"/>
          <w:sz w:val="20"/>
        </w:rPr>
        <w:t>in</w:t>
      </w:r>
      <w:r>
        <w:rPr>
          <w:rFonts w:ascii="Cambria Math"/>
          <w:spacing w:val="-5"/>
          <w:sz w:val="20"/>
        </w:rPr>
        <w:t xml:space="preserve"> </w:t>
      </w:r>
      <w:r>
        <w:rPr>
          <w:rFonts w:ascii="Cambria Math"/>
          <w:sz w:val="20"/>
        </w:rPr>
        <w:t>the</w:t>
      </w:r>
      <w:r>
        <w:rPr>
          <w:rFonts w:ascii="Cambria Math"/>
          <w:spacing w:val="1"/>
          <w:sz w:val="20"/>
        </w:rPr>
        <w:t xml:space="preserve"> </w:t>
      </w:r>
      <w:r>
        <w:rPr>
          <w:rFonts w:ascii="Cambria Math"/>
          <w:spacing w:val="-2"/>
          <w:sz w:val="20"/>
        </w:rPr>
        <w:t>Certificate:</w:t>
      </w:r>
      <w:r w:rsidR="00974C0E">
        <w:rPr>
          <w:rFonts w:ascii="Cambria Math"/>
          <w:spacing w:val="-2"/>
          <w:sz w:val="20"/>
        </w:rPr>
        <w:t xml:space="preserve"> Dr </w:t>
      </w:r>
      <w:proofErr w:type="spellStart"/>
      <w:r w:rsidR="00974C0E">
        <w:rPr>
          <w:rFonts w:ascii="Cambria Math"/>
          <w:spacing w:val="-2"/>
          <w:sz w:val="20"/>
        </w:rPr>
        <w:t>Emalee</w:t>
      </w:r>
      <w:proofErr w:type="spellEnd"/>
      <w:r w:rsidR="00974C0E">
        <w:rPr>
          <w:rFonts w:ascii="Cambria Math"/>
          <w:spacing w:val="-2"/>
          <w:sz w:val="20"/>
        </w:rPr>
        <w:t xml:space="preserve"> Burrows</w:t>
      </w:r>
    </w:p>
    <w:p w14:paraId="09CC0E8B" w14:textId="450830E6" w:rsidR="009309ED" w:rsidRDefault="00000000">
      <w:pPr>
        <w:spacing w:before="1"/>
        <w:ind w:left="119"/>
        <w:rPr>
          <w:rFonts w:ascii="Cambria Math"/>
          <w:sz w:val="20"/>
        </w:rPr>
      </w:pPr>
      <w:r>
        <w:rPr>
          <w:rFonts w:ascii="Cambria Math"/>
          <w:sz w:val="20"/>
        </w:rPr>
        <w:t>Type</w:t>
      </w:r>
      <w:r>
        <w:rPr>
          <w:rFonts w:ascii="Cambria Math"/>
          <w:spacing w:val="-3"/>
          <w:sz w:val="20"/>
        </w:rPr>
        <w:t xml:space="preserve"> </w:t>
      </w:r>
      <w:r>
        <w:rPr>
          <w:rFonts w:ascii="Cambria Math"/>
          <w:sz w:val="20"/>
        </w:rPr>
        <w:t>of</w:t>
      </w:r>
      <w:r>
        <w:rPr>
          <w:rFonts w:ascii="Cambria Math"/>
          <w:spacing w:val="-3"/>
          <w:sz w:val="20"/>
        </w:rPr>
        <w:t xml:space="preserve"> </w:t>
      </w:r>
      <w:r>
        <w:rPr>
          <w:rFonts w:ascii="Cambria Math"/>
          <w:spacing w:val="-2"/>
          <w:sz w:val="20"/>
        </w:rPr>
        <w:t>Presentation:</w:t>
      </w:r>
      <w:r w:rsidR="00974C0E">
        <w:rPr>
          <w:rFonts w:ascii="Cambria Math"/>
          <w:spacing w:val="-2"/>
          <w:sz w:val="20"/>
        </w:rPr>
        <w:t xml:space="preserve"> Speaker</w:t>
      </w:r>
    </w:p>
    <w:p w14:paraId="7456A28A" w14:textId="6648C07E" w:rsidR="009309ED" w:rsidRDefault="00000000">
      <w:pPr>
        <w:spacing w:before="1" w:line="234" w:lineRule="exact"/>
        <w:ind w:left="119"/>
        <w:rPr>
          <w:rFonts w:ascii="Cambria Math"/>
          <w:sz w:val="20"/>
        </w:rPr>
      </w:pPr>
      <w:r>
        <w:rPr>
          <w:rFonts w:ascii="Cambria Math"/>
          <w:sz w:val="20"/>
        </w:rPr>
        <w:t>Email</w:t>
      </w:r>
      <w:r>
        <w:rPr>
          <w:rFonts w:ascii="Cambria Math"/>
          <w:spacing w:val="-5"/>
          <w:sz w:val="20"/>
        </w:rPr>
        <w:t xml:space="preserve"> ID:</w:t>
      </w:r>
      <w:r w:rsidR="00974C0E">
        <w:rPr>
          <w:rFonts w:ascii="Cambria Math"/>
          <w:spacing w:val="-5"/>
          <w:sz w:val="20"/>
        </w:rPr>
        <w:t xml:space="preserve"> emalee.burrows@gmail.com</w:t>
      </w:r>
    </w:p>
    <w:p w14:paraId="3AA6833E" w14:textId="100D92EB" w:rsidR="009309ED" w:rsidRDefault="00000000">
      <w:pPr>
        <w:spacing w:line="234" w:lineRule="exact"/>
        <w:ind w:left="119"/>
        <w:rPr>
          <w:rFonts w:ascii="Cambria Math"/>
          <w:sz w:val="20"/>
        </w:rPr>
      </w:pPr>
      <w:r>
        <w:rPr>
          <w:rFonts w:ascii="Cambria Math"/>
          <w:sz w:val="20"/>
        </w:rPr>
        <w:t>Contact</w:t>
      </w:r>
      <w:r>
        <w:rPr>
          <w:rFonts w:ascii="Cambria Math"/>
          <w:spacing w:val="-7"/>
          <w:sz w:val="20"/>
        </w:rPr>
        <w:t xml:space="preserve"> </w:t>
      </w:r>
      <w:r>
        <w:rPr>
          <w:rFonts w:ascii="Cambria Math"/>
          <w:spacing w:val="-2"/>
          <w:sz w:val="20"/>
        </w:rPr>
        <w:t>number/</w:t>
      </w:r>
      <w:proofErr w:type="spellStart"/>
      <w:r>
        <w:rPr>
          <w:rFonts w:ascii="Cambria Math"/>
          <w:spacing w:val="-2"/>
          <w:sz w:val="20"/>
        </w:rPr>
        <w:t>Whatsapp</w:t>
      </w:r>
      <w:proofErr w:type="spellEnd"/>
      <w:r>
        <w:rPr>
          <w:rFonts w:ascii="Cambria Math"/>
          <w:spacing w:val="-2"/>
          <w:sz w:val="20"/>
        </w:rPr>
        <w:t>:</w:t>
      </w:r>
      <w:r w:rsidR="00974C0E">
        <w:rPr>
          <w:rFonts w:ascii="Cambria Math"/>
          <w:spacing w:val="-2"/>
          <w:sz w:val="20"/>
        </w:rPr>
        <w:t xml:space="preserve"> 61 0409215125</w:t>
      </w:r>
    </w:p>
    <w:p w14:paraId="2105A5C9" w14:textId="73C9FF7C" w:rsidR="009309ED" w:rsidRDefault="00000000">
      <w:pPr>
        <w:spacing w:before="1"/>
        <w:ind w:left="119"/>
        <w:rPr>
          <w:rFonts w:ascii="Cambria Math"/>
          <w:sz w:val="20"/>
        </w:rPr>
      </w:pPr>
      <w:r>
        <w:rPr>
          <w:rFonts w:ascii="Cambria Math"/>
          <w:sz w:val="20"/>
        </w:rPr>
        <w:t>LinkedIn</w:t>
      </w:r>
      <w:r>
        <w:rPr>
          <w:rFonts w:ascii="Cambria Math"/>
          <w:spacing w:val="-7"/>
          <w:sz w:val="20"/>
        </w:rPr>
        <w:t xml:space="preserve"> </w:t>
      </w:r>
      <w:r>
        <w:rPr>
          <w:rFonts w:ascii="Cambria Math"/>
          <w:spacing w:val="-5"/>
          <w:sz w:val="20"/>
        </w:rPr>
        <w:t>ID:</w:t>
      </w:r>
      <w:r w:rsidR="00974C0E">
        <w:rPr>
          <w:rFonts w:ascii="Cambria Math"/>
          <w:spacing w:val="-5"/>
          <w:sz w:val="20"/>
        </w:rPr>
        <w:t xml:space="preserve"> </w:t>
      </w:r>
      <w:r w:rsidR="00724AB8">
        <w:rPr>
          <w:rFonts w:ascii="Cambria Math"/>
          <w:spacing w:val="-5"/>
          <w:sz w:val="20"/>
        </w:rPr>
        <w:t xml:space="preserve"> </w:t>
      </w:r>
      <w:r w:rsidR="00724AB8" w:rsidRPr="00724AB8">
        <w:rPr>
          <w:rFonts w:ascii="Cambria Math"/>
          <w:spacing w:val="-5"/>
          <w:sz w:val="20"/>
        </w:rPr>
        <w:t>emalee-burrows-327a85182</w:t>
      </w:r>
    </w:p>
    <w:sectPr w:rsidR="009309ED">
      <w:type w:val="continuous"/>
      <w:pgSz w:w="11920" w:h="16850"/>
      <w:pgMar w:top="600" w:right="60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6087E"/>
    <w:multiLevelType w:val="hybridMultilevel"/>
    <w:tmpl w:val="5D4EE1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D00379"/>
    <w:multiLevelType w:val="hybridMultilevel"/>
    <w:tmpl w:val="B7C80966"/>
    <w:lvl w:ilvl="0" w:tplc="096A876E">
      <w:start w:val="1"/>
      <w:numFmt w:val="decimal"/>
      <w:lvlText w:val="%1."/>
      <w:lvlJc w:val="left"/>
      <w:pPr>
        <w:ind w:left="480" w:hanging="284"/>
      </w:pPr>
      <w:rPr>
        <w:rFonts w:ascii="Calibri" w:eastAsia="Calibri" w:hAnsi="Calibri" w:cs="Calibri" w:hint="default"/>
        <w:b w:val="0"/>
        <w:bCs w:val="0"/>
        <w:i w:val="0"/>
        <w:iCs w:val="0"/>
        <w:spacing w:val="-17"/>
        <w:w w:val="100"/>
        <w:sz w:val="18"/>
        <w:szCs w:val="18"/>
        <w:lang w:val="en-US" w:eastAsia="en-US" w:bidi="ar-SA"/>
      </w:rPr>
    </w:lvl>
    <w:lvl w:ilvl="1" w:tplc="07C0B168">
      <w:numFmt w:val="bullet"/>
      <w:lvlText w:val="•"/>
      <w:lvlJc w:val="left"/>
      <w:pPr>
        <w:ind w:left="975" w:hanging="284"/>
      </w:pPr>
      <w:rPr>
        <w:rFonts w:hint="default"/>
        <w:lang w:val="en-US" w:eastAsia="en-US" w:bidi="ar-SA"/>
      </w:rPr>
    </w:lvl>
    <w:lvl w:ilvl="2" w:tplc="705CEADC">
      <w:numFmt w:val="bullet"/>
      <w:lvlText w:val="•"/>
      <w:lvlJc w:val="left"/>
      <w:pPr>
        <w:ind w:left="1470" w:hanging="284"/>
      </w:pPr>
      <w:rPr>
        <w:rFonts w:hint="default"/>
        <w:lang w:val="en-US" w:eastAsia="en-US" w:bidi="ar-SA"/>
      </w:rPr>
    </w:lvl>
    <w:lvl w:ilvl="3" w:tplc="8138D58E">
      <w:numFmt w:val="bullet"/>
      <w:lvlText w:val="•"/>
      <w:lvlJc w:val="left"/>
      <w:pPr>
        <w:ind w:left="1966" w:hanging="284"/>
      </w:pPr>
      <w:rPr>
        <w:rFonts w:hint="default"/>
        <w:lang w:val="en-US" w:eastAsia="en-US" w:bidi="ar-SA"/>
      </w:rPr>
    </w:lvl>
    <w:lvl w:ilvl="4" w:tplc="63264222">
      <w:numFmt w:val="bullet"/>
      <w:lvlText w:val="•"/>
      <w:lvlJc w:val="left"/>
      <w:pPr>
        <w:ind w:left="2461" w:hanging="284"/>
      </w:pPr>
      <w:rPr>
        <w:rFonts w:hint="default"/>
        <w:lang w:val="en-US" w:eastAsia="en-US" w:bidi="ar-SA"/>
      </w:rPr>
    </w:lvl>
    <w:lvl w:ilvl="5" w:tplc="826CE79E">
      <w:numFmt w:val="bullet"/>
      <w:lvlText w:val="•"/>
      <w:lvlJc w:val="left"/>
      <w:pPr>
        <w:ind w:left="2957" w:hanging="284"/>
      </w:pPr>
      <w:rPr>
        <w:rFonts w:hint="default"/>
        <w:lang w:val="en-US" w:eastAsia="en-US" w:bidi="ar-SA"/>
      </w:rPr>
    </w:lvl>
    <w:lvl w:ilvl="6" w:tplc="2C983990">
      <w:numFmt w:val="bullet"/>
      <w:lvlText w:val="•"/>
      <w:lvlJc w:val="left"/>
      <w:pPr>
        <w:ind w:left="3452" w:hanging="284"/>
      </w:pPr>
      <w:rPr>
        <w:rFonts w:hint="default"/>
        <w:lang w:val="en-US" w:eastAsia="en-US" w:bidi="ar-SA"/>
      </w:rPr>
    </w:lvl>
    <w:lvl w:ilvl="7" w:tplc="D804CE94">
      <w:numFmt w:val="bullet"/>
      <w:lvlText w:val="•"/>
      <w:lvlJc w:val="left"/>
      <w:pPr>
        <w:ind w:left="3948" w:hanging="284"/>
      </w:pPr>
      <w:rPr>
        <w:rFonts w:hint="default"/>
        <w:lang w:val="en-US" w:eastAsia="en-US" w:bidi="ar-SA"/>
      </w:rPr>
    </w:lvl>
    <w:lvl w:ilvl="8" w:tplc="BB52C146">
      <w:numFmt w:val="bullet"/>
      <w:lvlText w:val="•"/>
      <w:lvlJc w:val="left"/>
      <w:pPr>
        <w:ind w:left="4443" w:hanging="284"/>
      </w:pPr>
      <w:rPr>
        <w:rFonts w:hint="default"/>
        <w:lang w:val="en-US" w:eastAsia="en-US" w:bidi="ar-SA"/>
      </w:rPr>
    </w:lvl>
  </w:abstractNum>
  <w:num w:numId="1" w16cid:durableId="1504202938">
    <w:abstractNumId w:val="1"/>
  </w:num>
  <w:num w:numId="2" w16cid:durableId="1545603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9ED"/>
    <w:rsid w:val="000E4836"/>
    <w:rsid w:val="00112E15"/>
    <w:rsid w:val="003A3525"/>
    <w:rsid w:val="003F4547"/>
    <w:rsid w:val="004A4C49"/>
    <w:rsid w:val="00724AB8"/>
    <w:rsid w:val="007359A5"/>
    <w:rsid w:val="009309ED"/>
    <w:rsid w:val="00936D7A"/>
    <w:rsid w:val="00974C0E"/>
    <w:rsid w:val="00FB2F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8D7D4"/>
  <w15:docId w15:val="{8F486551-7492-564E-8C3B-AC998673C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7"/>
      <w:ind w:left="96"/>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line="411" w:lineRule="exact"/>
      <w:ind w:left="656" w:right="441"/>
      <w:jc w:val="center"/>
    </w:pPr>
    <w:rPr>
      <w:rFonts w:ascii="Cambria Math" w:eastAsia="Cambria Math" w:hAnsi="Cambria Math" w:cs="Cambria Math"/>
      <w:b/>
      <w:bCs/>
      <w:sz w:val="36"/>
      <w:szCs w:val="36"/>
    </w:rPr>
  </w:style>
  <w:style w:type="paragraph" w:styleId="ListParagraph">
    <w:name w:val="List Paragraph"/>
    <w:basedOn w:val="Normal"/>
    <w:uiPriority w:val="1"/>
    <w:qFormat/>
    <w:pPr>
      <w:spacing w:before="83"/>
      <w:ind w:left="480" w:right="132" w:hanging="284"/>
      <w:jc w:val="both"/>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392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4</cp:revision>
  <dcterms:created xsi:type="dcterms:W3CDTF">2023-05-15T23:43:00Z</dcterms:created>
  <dcterms:modified xsi:type="dcterms:W3CDTF">2023-05-16T00:02:00Z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Microsoft® Word LTSC</vt:lpwstr>
  </property>
  <property fmtid="{D5CDD505-2E9C-101B-9397-08002B2CF9AE}" pid="4" name="LastSaved">
    <vt:filetime>2023-05-15T00:00:00Z</vt:filetime>
  </property>
  <property fmtid="{D5CDD505-2E9C-101B-9397-08002B2CF9AE}" pid="5" name="Producer">
    <vt:lpwstr>Microsoft® Word LTSC</vt:lpwstr>
  </property>
</Properties>
</file>