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43320B" w14:textId="6F024F01" w:rsidR="00B7636F" w:rsidRPr="00113E4C" w:rsidRDefault="00113E4C" w:rsidP="00B7636F">
      <w:pPr>
        <w:rPr>
          <w:rFonts w:ascii="Arial" w:hAnsi="Arial" w:cs="Arial"/>
          <w:b/>
          <w:bCs/>
          <w:sz w:val="28"/>
          <w:szCs w:val="28"/>
        </w:rPr>
      </w:pPr>
      <w:r w:rsidRPr="00113E4C">
        <w:rPr>
          <w:rFonts w:ascii="Arial" w:hAnsi="Arial" w:cs="Arial"/>
          <w:b/>
          <w:bCs/>
          <w:sz w:val="28"/>
          <w:szCs w:val="28"/>
        </w:rPr>
        <w:t>Cognitive impairment in South Asians with PD: a meta-analysis</w:t>
      </w:r>
    </w:p>
    <w:p w14:paraId="057400D7" w14:textId="77777777" w:rsidR="00B7636F" w:rsidRDefault="00B7636F" w:rsidP="00B7636F"/>
    <w:p w14:paraId="1B56106C" w14:textId="57377443" w:rsidR="00B7636F" w:rsidRPr="00B7636F" w:rsidRDefault="00B7636F" w:rsidP="00B7636F">
      <w:pPr>
        <w:spacing w:line="360" w:lineRule="auto"/>
        <w:jc w:val="both"/>
        <w:rPr>
          <w:rFonts w:ascii="Arial" w:hAnsi="Arial" w:cs="Arial"/>
        </w:rPr>
      </w:pPr>
      <w:r w:rsidRPr="00B7636F">
        <w:rPr>
          <w:rFonts w:ascii="Arial" w:hAnsi="Arial" w:cs="Arial"/>
          <w:b/>
          <w:bCs/>
        </w:rPr>
        <w:t>Introduction:</w:t>
      </w:r>
      <w:r w:rsidRPr="00B7636F">
        <w:rPr>
          <w:rFonts w:ascii="Arial" w:hAnsi="Arial" w:cs="Arial"/>
        </w:rPr>
        <w:t xml:space="preserve"> Parkinson's disease (PD) is the fastest growing neurological disorder. Cognitive impairment, spanning PD mild cognitive impairment (PD-MCI) to PD dementia (PDD), is among its most disabling non-motor complications. South Asians remain underrepresented in PD cognition research and no meta-analysis has isolated this population.</w:t>
      </w:r>
    </w:p>
    <w:p w14:paraId="4FC0B961" w14:textId="77777777" w:rsidR="00B7636F" w:rsidRPr="00B7636F" w:rsidRDefault="00B7636F" w:rsidP="00B7636F">
      <w:pPr>
        <w:spacing w:line="360" w:lineRule="auto"/>
        <w:jc w:val="both"/>
        <w:rPr>
          <w:rFonts w:ascii="Arial" w:hAnsi="Arial" w:cs="Arial"/>
        </w:rPr>
      </w:pPr>
      <w:r w:rsidRPr="00B7636F">
        <w:rPr>
          <w:rFonts w:ascii="Arial" w:hAnsi="Arial" w:cs="Arial"/>
          <w:b/>
          <w:bCs/>
        </w:rPr>
        <w:t>Objectives:</w:t>
      </w:r>
      <w:r w:rsidRPr="00B7636F">
        <w:rPr>
          <w:rFonts w:ascii="Arial" w:hAnsi="Arial" w:cs="Arial"/>
        </w:rPr>
        <w:t xml:space="preserve"> To estimate prevalence of overall cognitive impairment, PD-MCI and PDD in South Asian adults with </w:t>
      </w:r>
      <w:proofErr w:type="gramStart"/>
      <w:r w:rsidRPr="00B7636F">
        <w:rPr>
          <w:rFonts w:ascii="Arial" w:hAnsi="Arial" w:cs="Arial"/>
        </w:rPr>
        <w:t>PD, and</w:t>
      </w:r>
      <w:proofErr w:type="gramEnd"/>
      <w:r w:rsidRPr="00B7636F">
        <w:rPr>
          <w:rFonts w:ascii="Arial" w:hAnsi="Arial" w:cs="Arial"/>
        </w:rPr>
        <w:t xml:space="preserve"> </w:t>
      </w:r>
      <w:proofErr w:type="spellStart"/>
      <w:r w:rsidRPr="00B7636F">
        <w:rPr>
          <w:rFonts w:ascii="Arial" w:hAnsi="Arial" w:cs="Arial"/>
        </w:rPr>
        <w:t>characterise</w:t>
      </w:r>
      <w:proofErr w:type="spellEnd"/>
      <w:r w:rsidRPr="00B7636F">
        <w:rPr>
          <w:rFonts w:ascii="Arial" w:hAnsi="Arial" w:cs="Arial"/>
        </w:rPr>
        <w:t xml:space="preserve"> heterogeneity sources.</w:t>
      </w:r>
    </w:p>
    <w:p w14:paraId="2F949648" w14:textId="77777777" w:rsidR="00B7636F" w:rsidRPr="00B7636F" w:rsidRDefault="00B7636F" w:rsidP="00B7636F">
      <w:pPr>
        <w:spacing w:line="360" w:lineRule="auto"/>
        <w:jc w:val="both"/>
        <w:rPr>
          <w:rFonts w:ascii="Arial" w:hAnsi="Arial" w:cs="Arial"/>
        </w:rPr>
      </w:pPr>
      <w:r w:rsidRPr="00B7636F">
        <w:rPr>
          <w:rFonts w:ascii="Arial" w:hAnsi="Arial" w:cs="Arial"/>
          <w:b/>
          <w:bCs/>
        </w:rPr>
        <w:t>Methods:</w:t>
      </w:r>
      <w:r w:rsidRPr="00B7636F">
        <w:rPr>
          <w:rFonts w:ascii="Arial" w:hAnsi="Arial" w:cs="Arial"/>
        </w:rPr>
        <w:t xml:space="preserve"> Six databases, including two regional indexes, were searched for observational studies published March 2006 to 2026. Proportions were pooled in random effects models after Freeman-Tukey transformation, with Hartung-Knapp confidence intervals. Quality was assessed with the Joanna Briggs Institute checklist and certainty with GRADE. The review was PROSPERO registered (CRD420261337107) and PRISMA compliant.</w:t>
      </w:r>
    </w:p>
    <w:p w14:paraId="72560C0A" w14:textId="77777777" w:rsidR="00B7636F" w:rsidRPr="00B7636F" w:rsidRDefault="00B7636F" w:rsidP="00B7636F">
      <w:pPr>
        <w:spacing w:line="360" w:lineRule="auto"/>
        <w:jc w:val="both"/>
        <w:rPr>
          <w:rFonts w:ascii="Arial" w:hAnsi="Arial" w:cs="Arial"/>
        </w:rPr>
      </w:pPr>
      <w:r w:rsidRPr="00B7636F">
        <w:rPr>
          <w:rFonts w:ascii="Arial" w:hAnsi="Arial" w:cs="Arial"/>
          <w:b/>
          <w:bCs/>
        </w:rPr>
        <w:t>Results:</w:t>
      </w:r>
      <w:r w:rsidRPr="00B7636F">
        <w:rPr>
          <w:rFonts w:ascii="Arial" w:hAnsi="Arial" w:cs="Arial"/>
        </w:rPr>
        <w:t xml:space="preserve"> Of 814 screened records, 25 studies (10,155 participants) were included, with one study (78% of participants) lacking directly </w:t>
      </w:r>
      <w:proofErr w:type="spellStart"/>
      <w:r w:rsidRPr="00B7636F">
        <w:rPr>
          <w:rFonts w:ascii="Arial" w:hAnsi="Arial" w:cs="Arial"/>
        </w:rPr>
        <w:t>poolable</w:t>
      </w:r>
      <w:proofErr w:type="spellEnd"/>
      <w:r w:rsidRPr="00B7636F">
        <w:rPr>
          <w:rFonts w:ascii="Arial" w:hAnsi="Arial" w:cs="Arial"/>
        </w:rPr>
        <w:t xml:space="preserve"> prevalence. Direct pooled prevalence was 54.6% (95% CI 37.7–70.9; k=6) for overall cognitive impairment, 28.0% (18.6–38.5; k=5) for PD-MCI and 30.1% (19.1–42.4; k=7) for PDD. Heterogeneity was considerable (I² 85–93%). Instrument choice did not explain this (MoCA 56.2% versus MMSE or HMSE 50.0%, p=0.732). Studies were predominantly clinic based, with few community or diaspora populations.</w:t>
      </w:r>
    </w:p>
    <w:p w14:paraId="2C078E63" w14:textId="6A18CB33" w:rsidR="007A5A4F" w:rsidRPr="00B7636F" w:rsidRDefault="00B7636F" w:rsidP="00B7636F">
      <w:pPr>
        <w:spacing w:line="360" w:lineRule="auto"/>
        <w:jc w:val="both"/>
        <w:rPr>
          <w:rFonts w:ascii="Arial" w:hAnsi="Arial" w:cs="Arial"/>
        </w:rPr>
      </w:pPr>
      <w:r w:rsidRPr="00B7636F">
        <w:rPr>
          <w:rFonts w:ascii="Arial" w:hAnsi="Arial" w:cs="Arial"/>
          <w:b/>
          <w:bCs/>
        </w:rPr>
        <w:t>Conclusion:</w:t>
      </w:r>
      <w:r w:rsidRPr="00B7636F">
        <w:rPr>
          <w:rFonts w:ascii="Arial" w:hAnsi="Arial" w:cs="Arial"/>
        </w:rPr>
        <w:t xml:space="preserve"> Cognitive impairment affects approximately half of South Asian people with PD, with very low certainty. Adequately powered studies using culturally validated instruments and thresholds are needed.</w:t>
      </w:r>
    </w:p>
    <w:sectPr w:rsidR="007A5A4F" w:rsidRPr="00B76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B6D96B"/>
    <w:rsid w:val="00113E4C"/>
    <w:rsid w:val="007A5A4F"/>
    <w:rsid w:val="00B7636F"/>
    <w:rsid w:val="00DF64BC"/>
    <w:rsid w:val="13B6D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BAF06"/>
  <w15:chartTrackingRefBased/>
  <w15:docId w15:val="{CA932AF3-F776-4A3E-8779-468ABD20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 rontree</dc:creator>
  <cp:keywords/>
  <dc:description/>
  <cp:lastModifiedBy>Mila Rontree</cp:lastModifiedBy>
  <cp:revision>3</cp:revision>
  <dcterms:created xsi:type="dcterms:W3CDTF">2026-09-27T14:41:00Z</dcterms:created>
  <dcterms:modified xsi:type="dcterms:W3CDTF">2026-09-27T14:45:00Z</dcterms:modified>
</cp:coreProperties>
</file>