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511" w:rsidRPr="007B583D" w:rsidRDefault="001F3511" w:rsidP="008E797B">
      <w:pPr>
        <w:spacing w:after="0" w:line="240" w:lineRule="auto"/>
        <w:jc w:val="center"/>
        <w:rPr>
          <w:b/>
          <w:sz w:val="24"/>
          <w:szCs w:val="24"/>
          <w:lang w:val="en-US"/>
        </w:rPr>
      </w:pPr>
      <w:r w:rsidRPr="007B583D">
        <w:rPr>
          <w:b/>
          <w:sz w:val="24"/>
          <w:szCs w:val="24"/>
          <w:lang w:val="en-US"/>
        </w:rPr>
        <w:t>Diagnosis and treatment of pain syndromes among representatives of elderly age with combined lesions of the lumbar spine</w:t>
      </w:r>
    </w:p>
    <w:p w:rsidR="001F3511" w:rsidRPr="007B583D" w:rsidRDefault="001F3511" w:rsidP="008E797B">
      <w:pPr>
        <w:spacing w:after="0" w:line="240" w:lineRule="auto"/>
        <w:jc w:val="center"/>
        <w:rPr>
          <w:sz w:val="24"/>
          <w:szCs w:val="24"/>
          <w:lang w:val="de-DE"/>
        </w:rPr>
      </w:pPr>
      <w:r w:rsidRPr="007B583D">
        <w:rPr>
          <w:sz w:val="24"/>
          <w:szCs w:val="24"/>
          <w:lang w:val="de-DE"/>
        </w:rPr>
        <w:t xml:space="preserve">Viktor S. Myakotnykh, Aleksandr A. </w:t>
      </w:r>
      <w:r>
        <w:rPr>
          <w:sz w:val="24"/>
          <w:szCs w:val="24"/>
          <w:lang w:val="de-DE"/>
        </w:rPr>
        <w:t>Balbert</w:t>
      </w:r>
    </w:p>
    <w:p w:rsidR="001F3511" w:rsidRPr="008E797B" w:rsidRDefault="001F3511" w:rsidP="008E797B">
      <w:pPr>
        <w:spacing w:after="0" w:line="240" w:lineRule="auto"/>
        <w:jc w:val="center"/>
        <w:rPr>
          <w:sz w:val="24"/>
          <w:szCs w:val="24"/>
          <w:lang w:val="en-US"/>
        </w:rPr>
      </w:pPr>
      <w:r w:rsidRPr="008E797B">
        <w:rPr>
          <w:sz w:val="24"/>
          <w:szCs w:val="24"/>
          <w:lang w:val="en-US"/>
        </w:rPr>
        <w:t>Ural state medical University 620028,</w:t>
      </w:r>
    </w:p>
    <w:p w:rsidR="001F3511" w:rsidRPr="008E797B" w:rsidRDefault="001F3511" w:rsidP="008E797B">
      <w:pPr>
        <w:spacing w:after="0" w:line="240" w:lineRule="auto"/>
        <w:jc w:val="center"/>
        <w:rPr>
          <w:sz w:val="24"/>
          <w:szCs w:val="24"/>
          <w:lang w:val="de-DE"/>
        </w:rPr>
      </w:pPr>
      <w:r w:rsidRPr="008E797B">
        <w:rPr>
          <w:sz w:val="24"/>
          <w:szCs w:val="24"/>
          <w:lang w:val="de-DE"/>
        </w:rPr>
        <w:t>Yekaterinburg, Russia</w:t>
      </w:r>
      <w:r>
        <w:rPr>
          <w:sz w:val="24"/>
          <w:szCs w:val="24"/>
          <w:lang w:val="de-DE"/>
        </w:rPr>
        <w:t>,</w:t>
      </w:r>
      <w:r w:rsidRPr="008E797B">
        <w:rPr>
          <w:sz w:val="24"/>
          <w:szCs w:val="24"/>
          <w:lang w:val="de-DE"/>
        </w:rPr>
        <w:t xml:space="preserve"> Repin str., 3, e-mail: vmaykotnykh@yandex.ru</w:t>
      </w:r>
    </w:p>
    <w:p w:rsidR="001F3511" w:rsidRPr="008E797B" w:rsidRDefault="001F3511" w:rsidP="008E797B">
      <w:pPr>
        <w:spacing w:after="0" w:line="240" w:lineRule="auto"/>
        <w:ind w:firstLine="720"/>
        <w:jc w:val="both"/>
        <w:rPr>
          <w:sz w:val="24"/>
          <w:szCs w:val="24"/>
          <w:lang w:val="de-DE"/>
        </w:rPr>
      </w:pPr>
    </w:p>
    <w:p w:rsidR="001F3511" w:rsidRPr="0093181B" w:rsidRDefault="001F3511" w:rsidP="008E797B">
      <w:pPr>
        <w:spacing w:after="0" w:line="240" w:lineRule="auto"/>
        <w:ind w:firstLine="720"/>
        <w:jc w:val="both"/>
        <w:rPr>
          <w:sz w:val="24"/>
          <w:szCs w:val="24"/>
          <w:lang w:val="en-US"/>
        </w:rPr>
      </w:pPr>
      <w:r w:rsidRPr="0093181B">
        <w:rPr>
          <w:sz w:val="24"/>
          <w:szCs w:val="24"/>
          <w:lang w:val="en-US"/>
        </w:rPr>
        <w:t xml:space="preserve">The elderly pathological processes in the spine are often combined - based on combinations of osteoporosis and degenerative disc disease. It is often insufficiently evaluated one of the components of combined pathologies, and this is reflected in the effectiveness of the treatment of pain syndromes. </w:t>
      </w:r>
    </w:p>
    <w:p w:rsidR="001F3511" w:rsidRPr="0093181B" w:rsidRDefault="001F3511" w:rsidP="0093181B">
      <w:pPr>
        <w:spacing w:after="0" w:line="240" w:lineRule="auto"/>
        <w:ind w:firstLine="720"/>
        <w:jc w:val="both"/>
        <w:rPr>
          <w:sz w:val="24"/>
          <w:szCs w:val="24"/>
          <w:lang w:val="en-US"/>
        </w:rPr>
      </w:pPr>
      <w:r w:rsidRPr="0093181B">
        <w:rPr>
          <w:b/>
          <w:sz w:val="24"/>
          <w:szCs w:val="24"/>
          <w:lang w:val="en-US"/>
        </w:rPr>
        <w:t>The purpose of the study:</w:t>
      </w:r>
      <w:r w:rsidRPr="0093181B">
        <w:rPr>
          <w:sz w:val="24"/>
          <w:szCs w:val="24"/>
          <w:lang w:val="en-US"/>
        </w:rPr>
        <w:t xml:space="preserve"> development of the concept of diagnosis and treatment of pain syndromes, emerging in old age based on spinal lesions two concomitant pathological processes like osteoporosis and osteoarthritis. </w:t>
      </w:r>
    </w:p>
    <w:p w:rsidR="001F3511" w:rsidRPr="0093181B" w:rsidRDefault="001F3511" w:rsidP="0093181B">
      <w:pPr>
        <w:spacing w:after="0" w:line="240" w:lineRule="auto"/>
        <w:ind w:firstLine="720"/>
        <w:jc w:val="both"/>
        <w:rPr>
          <w:sz w:val="24"/>
          <w:szCs w:val="24"/>
          <w:lang w:val="en-US"/>
        </w:rPr>
      </w:pPr>
      <w:r w:rsidRPr="0093181B">
        <w:rPr>
          <w:b/>
          <w:sz w:val="24"/>
          <w:szCs w:val="24"/>
          <w:lang w:val="en-US"/>
        </w:rPr>
        <w:t>Materials and methods.</w:t>
      </w:r>
      <w:r w:rsidRPr="0093181B">
        <w:rPr>
          <w:sz w:val="24"/>
          <w:szCs w:val="24"/>
          <w:lang w:val="en-US"/>
        </w:rPr>
        <w:t xml:space="preserve"> Was observed in 76 patients aged from 60 to 78 years, suffering from 6 to 28 years pain in lower back radiating to buttocks and lower limbs. All patients were established the diagnosis of a combined lesion of the lumbar spine in connection with osteoporosis and degenerative disc disease. In the treatment used techniques of manual therapy and injection of botulinum toxin type A.</w:t>
      </w:r>
    </w:p>
    <w:p w:rsidR="001F3511" w:rsidRPr="0093181B" w:rsidRDefault="001F3511" w:rsidP="0093181B">
      <w:pPr>
        <w:spacing w:after="0" w:line="240" w:lineRule="auto"/>
        <w:ind w:firstLine="720"/>
        <w:jc w:val="both"/>
        <w:rPr>
          <w:sz w:val="24"/>
          <w:szCs w:val="24"/>
          <w:lang w:val="en-US"/>
        </w:rPr>
      </w:pPr>
      <w:r w:rsidRPr="0093181B">
        <w:rPr>
          <w:b/>
          <w:sz w:val="24"/>
          <w:szCs w:val="24"/>
          <w:lang w:val="en-US"/>
        </w:rPr>
        <w:t>Results and their discussion.</w:t>
      </w:r>
      <w:r w:rsidRPr="0093181B">
        <w:rPr>
          <w:sz w:val="24"/>
          <w:szCs w:val="24"/>
          <w:lang w:val="en-US"/>
        </w:rPr>
        <w:t xml:space="preserve"> Revealed increased tone muscles of the lower back, tenderness to palpation of the area of the lumbar-sacral transition marked limitation of motion in the vertebral-motor segments lower thoracic and lumbar spine. It is confirmed that in contrast to young adults who have back pain often associated with lesions of the intervertebral discs in elderly patients there is a tendency to associate pain with pathology of the facet joints. That is with the defeat of the facet joints typical pain with extension and rotation of the lower back radiating to buttocks, worse in the standing position and decreasing when tilted forward. Another cause of pain in the elderly are non-traumatic vertebral compression fractures, with the greatest axial load – TH10-12 and L1-2 (n=52; 68,42%). As a reaction to chronic overload of the posterior supporting complex due to the decreased height of the vertebral body, increases the tone of the muscle groups located near the targeted segment. </w:t>
      </w:r>
      <w:r>
        <w:rPr>
          <w:sz w:val="24"/>
          <w:szCs w:val="24"/>
          <w:lang w:val="en-US"/>
        </w:rPr>
        <w:t>The results of CT and MRT</w:t>
      </w:r>
      <w:r w:rsidRPr="0093181B">
        <w:rPr>
          <w:sz w:val="24"/>
          <w:szCs w:val="24"/>
          <w:lang w:val="en-US"/>
        </w:rPr>
        <w:t xml:space="preserve"> showed the most pronounced lesion of the facet joints at the level of TH12-L1 (n=31; 40,79%) and the greatest increase in tonus was observed in the iliac-lumbar muscles. This was due to limitation of extension of the hip and forced to pose in the form of bending of the trunk forward. The detection of degenerative changes or compression of the vertebral body at L3-S1 (n=49; 64,47%), increased muscle tone were detected in the muscles of the rectifiers back and square the muscles of the lower back with limitation of flexion in the lumbar spine. In 9 (of 11.84%) patients were determined compression symptoms of sciatic nerve in podgradina space. </w:t>
      </w:r>
    </w:p>
    <w:p w:rsidR="001F3511" w:rsidRPr="0093181B" w:rsidRDefault="001F3511" w:rsidP="0093181B">
      <w:pPr>
        <w:spacing w:after="0" w:line="240" w:lineRule="auto"/>
        <w:ind w:firstLine="720"/>
        <w:jc w:val="both"/>
        <w:rPr>
          <w:sz w:val="24"/>
          <w:szCs w:val="24"/>
          <w:lang w:val="en-US"/>
        </w:rPr>
      </w:pPr>
      <w:r w:rsidRPr="0093181B">
        <w:rPr>
          <w:sz w:val="24"/>
          <w:szCs w:val="24"/>
          <w:lang w:val="en-US"/>
        </w:rPr>
        <w:t>To reduce pain and restore motor function of all patients prescribed drugs from the groups of NSAIDs, and muscle relaxants. However, after 2 weeks of therapy, only 7 (9,21%) of them noted distinct decrease in pain and increase range of motion, and 12 (15,79%) - only a decrease in pain. Then for further treatment were used the methods of manual therapy and drug blockade psoas and piriformis muscles with botulinum toxin type A. To determine the target muscles were used guided by CT and/or MR</w:t>
      </w:r>
      <w:r>
        <w:rPr>
          <w:sz w:val="24"/>
          <w:szCs w:val="24"/>
          <w:lang w:val="en-US"/>
        </w:rPr>
        <w:t>T</w:t>
      </w:r>
      <w:r w:rsidRPr="0093181B">
        <w:rPr>
          <w:sz w:val="24"/>
          <w:szCs w:val="24"/>
          <w:lang w:val="en-US"/>
        </w:rPr>
        <w:t>. Used light traction technique, post isometric relaxation, lymph drainage techniques and functional massage. Botulinum toxin</w:t>
      </w:r>
      <w:r>
        <w:rPr>
          <w:sz w:val="24"/>
          <w:szCs w:val="24"/>
          <w:lang w:val="en-US"/>
        </w:rPr>
        <w:t xml:space="preserve"> type A injected</w:t>
      </w:r>
      <w:r w:rsidRPr="0093181B">
        <w:rPr>
          <w:sz w:val="24"/>
          <w:szCs w:val="24"/>
          <w:lang w:val="en-US"/>
        </w:rPr>
        <w:t xml:space="preserve"> in a dose of 50-75</w:t>
      </w:r>
      <w:r>
        <w:rPr>
          <w:sz w:val="24"/>
          <w:szCs w:val="24"/>
          <w:lang w:val="en-US"/>
        </w:rPr>
        <w:t xml:space="preserve"> and 100-120</w:t>
      </w:r>
      <w:r w:rsidRPr="0093181B">
        <w:rPr>
          <w:sz w:val="24"/>
          <w:szCs w:val="24"/>
          <w:lang w:val="en-US"/>
        </w:rPr>
        <w:t>, and it was ensured the absence of systemic effects on bone density. After 3 weeks of treatment 70 (92,11%) patients noted a significant decrease in the severity of pain, and 52 (68,42%) - increase range of motion in the spine.</w:t>
      </w:r>
    </w:p>
    <w:p w:rsidR="001F3511" w:rsidRDefault="001F3511" w:rsidP="0093181B">
      <w:pPr>
        <w:spacing w:after="0" w:line="240" w:lineRule="auto"/>
        <w:ind w:firstLine="720"/>
        <w:jc w:val="both"/>
        <w:rPr>
          <w:sz w:val="24"/>
          <w:szCs w:val="24"/>
          <w:lang w:val="ru-RU"/>
        </w:rPr>
      </w:pPr>
      <w:r w:rsidRPr="0093181B">
        <w:rPr>
          <w:sz w:val="24"/>
          <w:szCs w:val="24"/>
          <w:lang w:val="en-US"/>
        </w:rPr>
        <w:t>Thus, in the diagnosis of pain syndromes in the elderly, should consider the possibility of a combination of degenerative disc disease. Treatment may include all possible methods, but with individual selection of options for their implementation.</w:t>
      </w:r>
    </w:p>
    <w:p w:rsidR="001F3511" w:rsidRDefault="001F3511" w:rsidP="0093181B">
      <w:pPr>
        <w:spacing w:after="0" w:line="240" w:lineRule="auto"/>
        <w:ind w:firstLine="720"/>
        <w:jc w:val="both"/>
        <w:rPr>
          <w:sz w:val="24"/>
          <w:szCs w:val="24"/>
          <w:lang w:val="en-US"/>
        </w:rPr>
      </w:pPr>
      <w:r w:rsidRPr="007B583D">
        <w:rPr>
          <w:b/>
          <w:sz w:val="24"/>
          <w:szCs w:val="24"/>
          <w:lang w:val="en-US"/>
        </w:rPr>
        <w:t>Key words:</w:t>
      </w:r>
      <w:r w:rsidRPr="0093181B">
        <w:rPr>
          <w:sz w:val="24"/>
          <w:szCs w:val="24"/>
          <w:lang w:val="en-US"/>
        </w:rPr>
        <w:t xml:space="preserve"> elderly</w:t>
      </w:r>
      <w:r>
        <w:rPr>
          <w:sz w:val="24"/>
          <w:szCs w:val="24"/>
          <w:lang w:val="en-US"/>
        </w:rPr>
        <w:t>, osteoporosis,</w:t>
      </w:r>
      <w:r w:rsidRPr="0093181B">
        <w:rPr>
          <w:sz w:val="24"/>
          <w:szCs w:val="24"/>
          <w:lang w:val="en-US"/>
        </w:rPr>
        <w:t xml:space="preserve"> degenerative disc disease</w:t>
      </w:r>
      <w:r>
        <w:rPr>
          <w:sz w:val="24"/>
          <w:szCs w:val="24"/>
          <w:lang w:val="en-US"/>
        </w:rPr>
        <w:t xml:space="preserve">, </w:t>
      </w:r>
      <w:r w:rsidRPr="0093181B">
        <w:rPr>
          <w:sz w:val="24"/>
          <w:szCs w:val="24"/>
          <w:lang w:val="en-US"/>
        </w:rPr>
        <w:t>diagnosis</w:t>
      </w:r>
      <w:r>
        <w:rPr>
          <w:sz w:val="24"/>
          <w:szCs w:val="24"/>
          <w:lang w:val="en-US"/>
        </w:rPr>
        <w:t>, t</w:t>
      </w:r>
      <w:r w:rsidRPr="0093181B">
        <w:rPr>
          <w:sz w:val="24"/>
          <w:szCs w:val="24"/>
          <w:lang w:val="en-US"/>
        </w:rPr>
        <w:t>reatment</w:t>
      </w:r>
      <w:r>
        <w:rPr>
          <w:sz w:val="24"/>
          <w:szCs w:val="24"/>
          <w:lang w:val="en-US"/>
        </w:rPr>
        <w:t>.</w:t>
      </w:r>
    </w:p>
    <w:p w:rsidR="001F3511" w:rsidRPr="00CA26B1" w:rsidRDefault="001F3511" w:rsidP="00CA26B1">
      <w:pPr>
        <w:spacing w:after="0" w:line="240" w:lineRule="auto"/>
        <w:ind w:firstLine="709"/>
        <w:jc w:val="both"/>
        <w:rPr>
          <w:sz w:val="24"/>
          <w:szCs w:val="24"/>
        </w:rPr>
      </w:pPr>
      <w:r>
        <w:rPr>
          <w:rFonts w:ascii="Times New Roman" w:hAnsi="Times New Roman"/>
          <w:b/>
          <w:iCs/>
          <w:sz w:val="24"/>
        </w:rPr>
        <w:t xml:space="preserve">Professional </w:t>
      </w:r>
      <w:r w:rsidRPr="00DF04E3">
        <w:rPr>
          <w:rFonts w:ascii="Times New Roman" w:hAnsi="Times New Roman"/>
          <w:b/>
          <w:iCs/>
          <w:sz w:val="24"/>
        </w:rPr>
        <w:t>Biography</w:t>
      </w:r>
      <w:r>
        <w:rPr>
          <w:rFonts w:ascii="Times New Roman" w:hAnsi="Times New Roman"/>
          <w:b/>
          <w:iCs/>
          <w:sz w:val="24"/>
        </w:rPr>
        <w:t xml:space="preserve">. </w:t>
      </w:r>
      <w:r w:rsidRPr="00CA26B1">
        <w:rPr>
          <w:sz w:val="24"/>
          <w:szCs w:val="24"/>
          <w:lang w:val="en-US"/>
        </w:rPr>
        <w:t>Viktor</w:t>
      </w:r>
      <w:r>
        <w:rPr>
          <w:sz w:val="24"/>
          <w:szCs w:val="24"/>
          <w:lang w:val="en-US"/>
        </w:rPr>
        <w:t xml:space="preserve"> S.</w:t>
      </w:r>
      <w:r w:rsidRPr="00CA26B1">
        <w:rPr>
          <w:sz w:val="24"/>
          <w:szCs w:val="24"/>
          <w:lang w:val="en-US"/>
        </w:rPr>
        <w:t xml:space="preserve"> Myakotnykh, neurologist, geriatrician, doctor of medical Sciences, Professor, head of the Department of geriatrics of the Ural state medical University. Author of 650 publications, 14 monographs, Laureate of International prize (2000) in the field of gerontology.</w:t>
      </w:r>
    </w:p>
    <w:p w:rsidR="001F3511" w:rsidRDefault="001F3511" w:rsidP="00CA26B1">
      <w:pPr>
        <w:spacing w:after="0" w:line="240" w:lineRule="auto"/>
        <w:ind w:firstLine="709"/>
        <w:jc w:val="both"/>
        <w:rPr>
          <w:sz w:val="24"/>
          <w:szCs w:val="24"/>
        </w:rPr>
      </w:pPr>
      <w:r w:rsidRPr="00CA26B1">
        <w:rPr>
          <w:sz w:val="24"/>
          <w:szCs w:val="24"/>
          <w:lang w:val="en-US"/>
        </w:rPr>
        <w:t xml:space="preserve">Aleksandr A. Balbert, doctor – neurologist, candidate of medical Sciences, assistant Professor. </w:t>
      </w:r>
      <w:r>
        <w:rPr>
          <w:sz w:val="24"/>
          <w:szCs w:val="24"/>
        </w:rPr>
        <w:t>Author of 4</w:t>
      </w:r>
      <w:r w:rsidRPr="00CA26B1">
        <w:rPr>
          <w:sz w:val="24"/>
          <w:szCs w:val="24"/>
        </w:rPr>
        <w:t>0 publications.</w:t>
      </w:r>
    </w:p>
    <w:p w:rsidR="001F3511" w:rsidRPr="005428F8" w:rsidRDefault="001F3511" w:rsidP="00CA26B1">
      <w:pPr>
        <w:spacing w:after="0" w:line="240" w:lineRule="auto"/>
        <w:ind w:firstLine="709"/>
        <w:jc w:val="both"/>
        <w:rPr>
          <w:b/>
          <w:sz w:val="24"/>
          <w:szCs w:val="24"/>
          <w:lang w:val="fr-FR"/>
        </w:rPr>
      </w:pPr>
      <w:r>
        <w:rPr>
          <w:sz w:val="24"/>
          <w:szCs w:val="24"/>
          <w:lang w:val="ru-RU"/>
        </w:rPr>
        <w:t>Е</w:t>
      </w:r>
      <w:r w:rsidRPr="005428F8">
        <w:rPr>
          <w:sz w:val="24"/>
          <w:szCs w:val="24"/>
          <w:lang w:val="fr-FR"/>
        </w:rPr>
        <w:t>-mail: vmaykotnykh@yandex.ru</w:t>
      </w:r>
    </w:p>
    <w:p w:rsidR="001F3511" w:rsidRPr="005428F8" w:rsidRDefault="001F3511" w:rsidP="0093181B">
      <w:pPr>
        <w:spacing w:after="0" w:line="240" w:lineRule="auto"/>
        <w:ind w:firstLine="720"/>
        <w:jc w:val="both"/>
        <w:rPr>
          <w:sz w:val="24"/>
          <w:szCs w:val="24"/>
          <w:lang w:val="fr-FR"/>
        </w:rPr>
      </w:pPr>
    </w:p>
    <w:p w:rsidR="001F3511" w:rsidRPr="005428F8" w:rsidRDefault="001F3511" w:rsidP="002350BC">
      <w:pPr>
        <w:rPr>
          <w:rFonts w:ascii="Times New Roman" w:hAnsi="Times New Roman"/>
          <w:b/>
          <w:sz w:val="24"/>
          <w:szCs w:val="24"/>
          <w:lang w:val="fr-FR"/>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0pt;height:114.75pt" o:allowoverlap="f">
            <v:imagedata r:id="rId6" o:title=""/>
          </v:shape>
        </w:pict>
      </w:r>
    </w:p>
    <w:sectPr w:rsidR="001F3511" w:rsidRPr="005428F8" w:rsidSect="00F723A3">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511" w:rsidRDefault="001F3511" w:rsidP="00495C76">
      <w:pPr>
        <w:spacing w:after="0" w:line="240" w:lineRule="auto"/>
      </w:pPr>
      <w:r>
        <w:separator/>
      </w:r>
    </w:p>
  </w:endnote>
  <w:endnote w:type="continuationSeparator" w:id="0">
    <w:p w:rsidR="001F3511" w:rsidRDefault="001F351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eiryo"/>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511" w:rsidRDefault="001F3511" w:rsidP="00495C76">
      <w:pPr>
        <w:spacing w:after="0" w:line="240" w:lineRule="auto"/>
      </w:pPr>
      <w:r>
        <w:separator/>
      </w:r>
    </w:p>
  </w:footnote>
  <w:footnote w:type="continuationSeparator" w:id="0">
    <w:p w:rsidR="001F3511" w:rsidRDefault="001F351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11" w:rsidRDefault="001F3511" w:rsidP="00495C76">
    <w:pPr>
      <w:pStyle w:val="Header"/>
      <w:jc w:val="center"/>
    </w:pPr>
    <w:r w:rsidRPr="00AD37CE">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4pt;visibility:visible">
          <v:imagedata r:id="rId1" o:title=""/>
        </v:shape>
      </w:pict>
    </w:r>
  </w:p>
  <w:p w:rsidR="001F3511" w:rsidRDefault="001F351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5C76"/>
    <w:rsid w:val="00064568"/>
    <w:rsid w:val="000A4C22"/>
    <w:rsid w:val="000D427D"/>
    <w:rsid w:val="001B780A"/>
    <w:rsid w:val="001F3511"/>
    <w:rsid w:val="002350BC"/>
    <w:rsid w:val="0028059F"/>
    <w:rsid w:val="002F4DF0"/>
    <w:rsid w:val="00333E31"/>
    <w:rsid w:val="00374D5C"/>
    <w:rsid w:val="0038483D"/>
    <w:rsid w:val="00435234"/>
    <w:rsid w:val="00471E56"/>
    <w:rsid w:val="00495C76"/>
    <w:rsid w:val="00526DD5"/>
    <w:rsid w:val="005428F8"/>
    <w:rsid w:val="005F6EAB"/>
    <w:rsid w:val="0061062D"/>
    <w:rsid w:val="00627419"/>
    <w:rsid w:val="0069325F"/>
    <w:rsid w:val="006C057D"/>
    <w:rsid w:val="00723F59"/>
    <w:rsid w:val="00796503"/>
    <w:rsid w:val="007B583D"/>
    <w:rsid w:val="007D02D5"/>
    <w:rsid w:val="008009D8"/>
    <w:rsid w:val="008759B5"/>
    <w:rsid w:val="00895555"/>
    <w:rsid w:val="008D11D6"/>
    <w:rsid w:val="008E797B"/>
    <w:rsid w:val="00924988"/>
    <w:rsid w:val="0093181B"/>
    <w:rsid w:val="00AD37CE"/>
    <w:rsid w:val="00B3082B"/>
    <w:rsid w:val="00B532E8"/>
    <w:rsid w:val="00B6703B"/>
    <w:rsid w:val="00BA654F"/>
    <w:rsid w:val="00C2644B"/>
    <w:rsid w:val="00C30FF3"/>
    <w:rsid w:val="00CA26B1"/>
    <w:rsid w:val="00CE511D"/>
    <w:rsid w:val="00DF04E3"/>
    <w:rsid w:val="00E55951"/>
    <w:rsid w:val="00EC2CCD"/>
    <w:rsid w:val="00F723A3"/>
    <w:rsid w:val="00FA0AD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3A3"/>
    <w:pPr>
      <w:spacing w:after="200" w:line="276" w:lineRule="auto"/>
    </w:pPr>
    <w:rPr>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5C76"/>
    <w:rPr>
      <w:rFonts w:ascii="Tahoma" w:hAnsi="Tahoma" w:cs="Tahoma"/>
      <w:sz w:val="16"/>
      <w:szCs w:val="16"/>
    </w:rPr>
  </w:style>
  <w:style w:type="paragraph" w:styleId="Header">
    <w:name w:val="header"/>
    <w:basedOn w:val="Normal"/>
    <w:link w:val="HeaderChar"/>
    <w:uiPriority w:val="99"/>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95C76"/>
    <w:rPr>
      <w:rFonts w:cs="Times New Roman"/>
    </w:rPr>
  </w:style>
  <w:style w:type="paragraph" w:styleId="Footer">
    <w:name w:val="footer"/>
    <w:basedOn w:val="Normal"/>
    <w:link w:val="FooterChar"/>
    <w:uiPriority w:val="99"/>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95C76"/>
    <w:rPr>
      <w:rFonts w:cs="Times New Roman"/>
    </w:rPr>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locked/>
    <w:rsid w:val="00DF04E3"/>
    <w:rPr>
      <w:rFonts w:ascii="Arial Unicode MS" w:eastAsia="Times New Roman"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19763762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TotalTime>
  <Pages>2</Pages>
  <Words>680</Words>
  <Characters>3877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Arora</dc:creator>
  <cp:keywords/>
  <dc:description/>
  <cp:lastModifiedBy>Victor</cp:lastModifiedBy>
  <cp:revision>26</cp:revision>
  <dcterms:created xsi:type="dcterms:W3CDTF">2017-06-30T09:03:00Z</dcterms:created>
  <dcterms:modified xsi:type="dcterms:W3CDTF">2017-09-12T11:06:00Z</dcterms:modified>
</cp:coreProperties>
</file>