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BF13F2" w:rsidP="00BF13F2">
      <w:pPr>
        <w:pStyle w:val="Heading1"/>
        <w:spacing w:before="170"/>
        <w:ind w:left="0"/>
      </w:pPr>
      <w:r w:rsidRPr="00BF13F2">
        <w:rPr>
          <w:color w:val="337AB7"/>
        </w:rPr>
        <w:t xml:space="preserve">The Serum Amyloid β Level in Multiple Sclerosis: A </w:t>
      </w:r>
      <w:r w:rsidRPr="00A575F2">
        <w:rPr>
          <w:noProof/>
          <w:color w:val="337AB7"/>
        </w:rPr>
        <w:t>Case-Control</w:t>
      </w:r>
      <w:r w:rsidRPr="00BF13F2">
        <w:rPr>
          <w:color w:val="337AB7"/>
        </w:rPr>
        <w:t xml:space="preserve"> Study</w:t>
      </w:r>
    </w:p>
    <w:p w:rsidR="0078738A" w:rsidRDefault="0078738A" w:rsidP="00BF13F2">
      <w:pPr>
        <w:pStyle w:val="BodyText"/>
        <w:spacing w:before="73" w:line="198" w:lineRule="exact"/>
        <w:ind w:left="100" w:right="5987"/>
        <w:rPr>
          <w:rFonts w:ascii="Arial"/>
        </w:rPr>
      </w:pPr>
      <w:r w:rsidRPr="00A575F2">
        <w:rPr>
          <w:rFonts w:ascii="Arial"/>
          <w:noProof/>
        </w:rPr>
        <w:t>Dr</w:t>
      </w:r>
      <w:r w:rsidR="00A575F2">
        <w:rPr>
          <w:rFonts w:ascii="Arial"/>
          <w:noProof/>
        </w:rPr>
        <w:t>.</w:t>
      </w:r>
      <w:r>
        <w:rPr>
          <w:rFonts w:ascii="Arial"/>
        </w:rPr>
        <w:t xml:space="preserve"> </w:t>
      </w:r>
      <w:r w:rsidR="00BF13F2">
        <w:rPr>
          <w:rFonts w:ascii="Arial"/>
        </w:rPr>
        <w:t>Keyvan Ghadimi</w:t>
      </w:r>
      <w:r w:rsidR="005973B9">
        <w:rPr>
          <w:rFonts w:ascii="Arial"/>
        </w:rPr>
        <w:t xml:space="preserve">, </w:t>
      </w:r>
      <w:r w:rsidR="00BF13F2">
        <w:rPr>
          <w:rFonts w:ascii="Arial"/>
        </w:rPr>
        <w:t>MD</w:t>
      </w:r>
      <w:r w:rsidR="005973B9">
        <w:rPr>
          <w:rFonts w:ascii="Arial"/>
        </w:rPr>
        <w:t xml:space="preserve">, </w:t>
      </w:r>
      <w:r w:rsidR="00BF13F2">
        <w:rPr>
          <w:rFonts w:ascii="Arial"/>
        </w:rPr>
        <w:t>Isfahan, Iran</w:t>
      </w:r>
      <w:r w:rsidR="005973B9">
        <w:rPr>
          <w:rFonts w:ascii="Arial"/>
        </w:rPr>
        <w:t xml:space="preserve"> </w:t>
      </w:r>
    </w:p>
    <w:p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r w:rsidR="00404E5B" w:rsidRPr="00A575F2">
        <w:rPr>
          <w:noProof/>
          <w:color w:val="BF5A14"/>
        </w:rPr>
        <w:t>300</w:t>
      </w:r>
      <w:r w:rsidR="00A575F2">
        <w:rPr>
          <w:noProof/>
          <w:color w:val="BF5A14"/>
        </w:rPr>
        <w:t>-</w:t>
      </w:r>
      <w:r w:rsidR="00404E5B" w:rsidRPr="00A575F2">
        <w:rPr>
          <w:noProof/>
          <w:color w:val="BF5A14"/>
        </w:rPr>
        <w:t>word</w:t>
      </w:r>
      <w:r w:rsidR="00404E5B">
        <w:rPr>
          <w:color w:val="BF5A14"/>
        </w:rPr>
        <w:t xml:space="preserve"> limit)</w:t>
      </w:r>
    </w:p>
    <w:p w:rsidR="00BF13F2" w:rsidRDefault="00BF13F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Background: Multiple sclerosis (MS) is one of the most common autoimmune diseases in adults that cause disability in patients. Different studies </w:t>
      </w:r>
      <w:r w:rsidRPr="00A575F2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were conducted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 </w:t>
      </w:r>
      <w:r w:rsidR="00A575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r w:rsidRPr="00A575F2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more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rapid diagnosis of the disease such as measuring serum or cerebrospinal fluid (CSF) contents. </w:t>
      </w:r>
    </w:p>
    <w:p w:rsidR="00BF13F2" w:rsidRDefault="00BF13F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Objectives: The current study aimed at measuring amyloid </w:t>
      </w:r>
      <w:r w:rsidRPr="00BF13F2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(A</w:t>
      </w:r>
      <w:r w:rsidRPr="00BF13F2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serum levels in patients with relapsing-remitting MS. </w:t>
      </w:r>
    </w:p>
    <w:p w:rsidR="00BF13F2" w:rsidRDefault="00BF13F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>Materials and Methods: In the current case-control study, the serum levels of A</w:t>
      </w:r>
      <w:r w:rsidRPr="00BF13F2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A575F2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were measured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48 patients with RRMS and 33 healthy controls using the enzyme-linked immunosorbent assay (ELISA) technique in Isfahan, Iran, from 2014 to 2016. Data analysis </w:t>
      </w:r>
      <w:r w:rsidRPr="00A575F2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was conducted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SPSS. </w:t>
      </w:r>
    </w:p>
    <w:p w:rsidR="00BF13F2" w:rsidRDefault="00BF13F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>Results: The mean serum level of A</w:t>
      </w:r>
      <w:r w:rsidRPr="00BF13F2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case (patients with RRMS) and control groups were 192.75±125.65 and 128.11±85.20 </w:t>
      </w:r>
      <w:proofErr w:type="spellStart"/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>pg</w:t>
      </w:r>
      <w:proofErr w:type="spellEnd"/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>/mL, respectively; so serum A</w:t>
      </w:r>
      <w:r w:rsidRPr="00BF13F2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levels in the RRMS group was significantly higher than healthy controls (p=0.02). Also, there was </w:t>
      </w:r>
      <w:r w:rsidRPr="00A575F2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a </w:t>
      </w:r>
      <w:r w:rsidR="00A575F2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significant positive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correlation between the serum A</w:t>
      </w:r>
      <w:r w:rsidRPr="00BF13F2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levels and the expanded disability status scale (EDSS) (r=+0.85, p&lt;0.0001). </w:t>
      </w:r>
    </w:p>
    <w:p w:rsidR="00AE3E37" w:rsidRDefault="00BF13F2">
      <w:pPr>
        <w:pStyle w:val="Heading3"/>
        <w:spacing w:before="74"/>
      </w:pP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>Conclusions: Owing to the increase of serum A</w:t>
      </w:r>
      <w:r w:rsidRPr="00BF13F2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level in patients with RRMS and its significant increase in severe MS cases (higher EDSS scores), so serum A</w:t>
      </w:r>
      <w:r w:rsidRPr="00BF13F2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level can </w:t>
      </w:r>
      <w:r w:rsidRPr="00A575F2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be considered</w:t>
      </w:r>
      <w:r w:rsidRPr="00BF13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 a marker for MS and its progression.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BF13F2">
      <w:pPr>
        <w:pStyle w:val="BodyText"/>
        <w:spacing w:before="2"/>
        <w:rPr>
          <w:rFonts w:ascii="Arial"/>
          <w:b/>
          <w:sz w:val="16"/>
        </w:rPr>
      </w:pPr>
      <w:r>
        <w:rPr>
          <w:rFonts w:ascii="Times New Roman" w:hAnsi="Times New Roman" w:cs="Times New Roman"/>
          <w:noProof/>
          <w:sz w:val="24"/>
          <w:szCs w:val="24"/>
          <w:lang w:bidi="fa-IR"/>
        </w:rPr>
        <w:drawing>
          <wp:inline distT="0" distB="0" distL="0" distR="0" wp14:anchorId="5E95CBDF" wp14:editId="33BB08DF">
            <wp:extent cx="3165475" cy="253439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53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BF13F2" w:rsidRPr="00511E61" w:rsidRDefault="00BF13F2" w:rsidP="00BF13F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szCs w:val="18"/>
        </w:rPr>
      </w:pPr>
      <w:proofErr w:type="spellStart"/>
      <w:r w:rsidRPr="00511E61">
        <w:rPr>
          <w:sz w:val="18"/>
          <w:szCs w:val="18"/>
        </w:rPr>
        <w:t>Farrokhi</w:t>
      </w:r>
      <w:proofErr w:type="spellEnd"/>
      <w:r w:rsidRPr="00511E61">
        <w:rPr>
          <w:sz w:val="18"/>
          <w:szCs w:val="18"/>
        </w:rPr>
        <w:t xml:space="preserve">, M., </w:t>
      </w:r>
      <w:proofErr w:type="spellStart"/>
      <w:r w:rsidRPr="00511E61">
        <w:rPr>
          <w:sz w:val="18"/>
          <w:szCs w:val="18"/>
        </w:rPr>
        <w:t>Dabirzadeh</w:t>
      </w:r>
      <w:proofErr w:type="spellEnd"/>
      <w:r w:rsidRPr="00511E61">
        <w:rPr>
          <w:sz w:val="18"/>
          <w:szCs w:val="18"/>
        </w:rPr>
        <w:t xml:space="preserve">, M., </w:t>
      </w:r>
      <w:proofErr w:type="spellStart"/>
      <w:r w:rsidRPr="00511E61">
        <w:rPr>
          <w:sz w:val="18"/>
          <w:szCs w:val="18"/>
        </w:rPr>
        <w:t>Dastravan</w:t>
      </w:r>
      <w:proofErr w:type="spellEnd"/>
      <w:r w:rsidRPr="00511E61">
        <w:rPr>
          <w:sz w:val="18"/>
          <w:szCs w:val="18"/>
        </w:rPr>
        <w:t xml:space="preserve">, N., </w:t>
      </w:r>
      <w:proofErr w:type="spellStart"/>
      <w:r w:rsidRPr="00511E61">
        <w:rPr>
          <w:sz w:val="18"/>
          <w:szCs w:val="18"/>
        </w:rPr>
        <w:t>Etemadifar</w:t>
      </w:r>
      <w:proofErr w:type="spellEnd"/>
      <w:r w:rsidRPr="00511E61">
        <w:rPr>
          <w:sz w:val="18"/>
          <w:szCs w:val="18"/>
        </w:rPr>
        <w:t xml:space="preserve">, M., Ghadimi, K., </w:t>
      </w:r>
      <w:proofErr w:type="spellStart"/>
      <w:r w:rsidRPr="00511E61">
        <w:rPr>
          <w:sz w:val="18"/>
          <w:szCs w:val="18"/>
        </w:rPr>
        <w:t>Saadatpour</w:t>
      </w:r>
      <w:proofErr w:type="spellEnd"/>
      <w:r w:rsidRPr="00511E61">
        <w:rPr>
          <w:sz w:val="18"/>
          <w:szCs w:val="18"/>
        </w:rPr>
        <w:t xml:space="preserve">, Z., &amp; </w:t>
      </w:r>
      <w:proofErr w:type="spellStart"/>
      <w:r w:rsidRPr="00511E61">
        <w:rPr>
          <w:sz w:val="18"/>
          <w:szCs w:val="18"/>
        </w:rPr>
        <w:t>Rezaei</w:t>
      </w:r>
      <w:proofErr w:type="spellEnd"/>
      <w:r w:rsidRPr="00511E61">
        <w:rPr>
          <w:sz w:val="18"/>
          <w:szCs w:val="18"/>
        </w:rPr>
        <w:t>, A. (2016). Mannose-binding Lectin Mediated Complement Pathway in Autoimmune Neurological Disorders. Iranian Journal of Allergy, Asthma</w:t>
      </w:r>
      <w:r w:rsidR="00A575F2">
        <w:rPr>
          <w:sz w:val="18"/>
          <w:szCs w:val="18"/>
        </w:rPr>
        <w:t>,</w:t>
      </w:r>
      <w:r w:rsidRPr="00511E61">
        <w:rPr>
          <w:sz w:val="18"/>
          <w:szCs w:val="18"/>
        </w:rPr>
        <w:t xml:space="preserve"> </w:t>
      </w:r>
      <w:r w:rsidRPr="00A575F2">
        <w:rPr>
          <w:noProof/>
          <w:sz w:val="18"/>
          <w:szCs w:val="18"/>
        </w:rPr>
        <w:t>and</w:t>
      </w:r>
      <w:r w:rsidRPr="00511E61">
        <w:rPr>
          <w:sz w:val="18"/>
          <w:szCs w:val="18"/>
        </w:rPr>
        <w:t xml:space="preserve"> Immunology, 15(3), </w:t>
      </w:r>
      <w:proofErr w:type="gramStart"/>
      <w:r w:rsidRPr="00511E61">
        <w:rPr>
          <w:sz w:val="18"/>
          <w:szCs w:val="18"/>
        </w:rPr>
        <w:t>251.</w:t>
      </w:r>
      <w:r w:rsidRPr="00511E61">
        <w:rPr>
          <w:rFonts w:cs="Times New Roman"/>
          <w:sz w:val="18"/>
          <w:szCs w:val="18"/>
          <w:rtl/>
        </w:rPr>
        <w:t>‏</w:t>
      </w:r>
      <w:proofErr w:type="gramEnd"/>
    </w:p>
    <w:p w:rsidR="00BF13F2" w:rsidRPr="00511E61" w:rsidRDefault="00BF13F2" w:rsidP="00BF13F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proofErr w:type="spellStart"/>
      <w:r w:rsidRPr="00511E61">
        <w:rPr>
          <w:sz w:val="18"/>
          <w:szCs w:val="18"/>
        </w:rPr>
        <w:t>Dehghani</w:t>
      </w:r>
      <w:proofErr w:type="spellEnd"/>
      <w:r w:rsidRPr="00511E61">
        <w:rPr>
          <w:sz w:val="18"/>
          <w:szCs w:val="18"/>
        </w:rPr>
        <w:t xml:space="preserve">, M., </w:t>
      </w:r>
      <w:proofErr w:type="spellStart"/>
      <w:r w:rsidRPr="00511E61">
        <w:rPr>
          <w:sz w:val="18"/>
          <w:szCs w:val="18"/>
        </w:rPr>
        <w:t>Sahranavard</w:t>
      </w:r>
      <w:proofErr w:type="spellEnd"/>
      <w:r w:rsidRPr="00511E61">
        <w:rPr>
          <w:sz w:val="18"/>
          <w:szCs w:val="18"/>
        </w:rPr>
        <w:t xml:space="preserve">, A., Ghadimi, K., &amp; </w:t>
      </w:r>
      <w:proofErr w:type="spellStart"/>
      <w:r w:rsidRPr="00511E61">
        <w:rPr>
          <w:sz w:val="18"/>
          <w:szCs w:val="18"/>
        </w:rPr>
        <w:t>Andalib</w:t>
      </w:r>
      <w:proofErr w:type="spellEnd"/>
      <w:r w:rsidRPr="00511E61">
        <w:rPr>
          <w:sz w:val="18"/>
          <w:szCs w:val="18"/>
        </w:rPr>
        <w:t xml:space="preserve">, A. (2017). </w:t>
      </w:r>
      <w:r w:rsidRPr="00A575F2">
        <w:rPr>
          <w:noProof/>
          <w:sz w:val="18"/>
          <w:szCs w:val="18"/>
        </w:rPr>
        <w:t>Outcomes</w:t>
      </w:r>
      <w:r w:rsidRPr="00511E61">
        <w:rPr>
          <w:sz w:val="18"/>
          <w:szCs w:val="18"/>
        </w:rPr>
        <w:t xml:space="preserve"> of Fixation of Radial Head Fractures with </w:t>
      </w:r>
      <w:proofErr w:type="spellStart"/>
      <w:r w:rsidRPr="00511E61">
        <w:rPr>
          <w:sz w:val="18"/>
          <w:szCs w:val="18"/>
        </w:rPr>
        <w:t>Kirschner</w:t>
      </w:r>
      <w:proofErr w:type="spellEnd"/>
      <w:r w:rsidRPr="00511E61">
        <w:rPr>
          <w:sz w:val="18"/>
          <w:szCs w:val="18"/>
        </w:rPr>
        <w:t xml:space="preserve"> Wire (K-Wire) in Adult Patients with Terrible Triad of Elbow Dislocations. Journal of Orthopedic and Spine Trauma, (In Press</w:t>
      </w:r>
      <w:proofErr w:type="gramStart"/>
      <w:r w:rsidRPr="00511E61">
        <w:rPr>
          <w:sz w:val="18"/>
          <w:szCs w:val="18"/>
        </w:rPr>
        <w:t>).</w:t>
      </w:r>
      <w:r w:rsidRPr="00511E61">
        <w:rPr>
          <w:rFonts w:cs="Times New Roman"/>
          <w:sz w:val="18"/>
          <w:szCs w:val="18"/>
          <w:rtl/>
        </w:rPr>
        <w:t>‏</w:t>
      </w:r>
      <w:proofErr w:type="gramEnd"/>
    </w:p>
    <w:p w:rsidR="00BF13F2" w:rsidRPr="00511E61" w:rsidRDefault="00BF13F2" w:rsidP="00BF13F2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szCs w:val="18"/>
        </w:rPr>
      </w:pPr>
      <w:proofErr w:type="spellStart"/>
      <w:r w:rsidRPr="00511E61">
        <w:rPr>
          <w:sz w:val="18"/>
          <w:szCs w:val="18"/>
        </w:rPr>
        <w:t>Abbasi</w:t>
      </w:r>
      <w:proofErr w:type="spellEnd"/>
      <w:r w:rsidRPr="00511E61">
        <w:rPr>
          <w:sz w:val="18"/>
          <w:szCs w:val="18"/>
        </w:rPr>
        <w:t xml:space="preserve"> S, </w:t>
      </w:r>
      <w:proofErr w:type="spellStart"/>
      <w:r w:rsidRPr="00511E61">
        <w:rPr>
          <w:sz w:val="18"/>
          <w:szCs w:val="18"/>
        </w:rPr>
        <w:t>Ghasemi</w:t>
      </w:r>
      <w:proofErr w:type="spellEnd"/>
      <w:r w:rsidRPr="00511E61">
        <w:rPr>
          <w:sz w:val="18"/>
          <w:szCs w:val="18"/>
        </w:rPr>
        <w:t xml:space="preserve"> M, </w:t>
      </w:r>
      <w:proofErr w:type="spellStart"/>
      <w:r w:rsidRPr="00511E61">
        <w:rPr>
          <w:sz w:val="18"/>
          <w:szCs w:val="18"/>
        </w:rPr>
        <w:t>Khorvash</w:t>
      </w:r>
      <w:proofErr w:type="spellEnd"/>
      <w:r w:rsidRPr="00511E61">
        <w:rPr>
          <w:sz w:val="18"/>
          <w:szCs w:val="18"/>
        </w:rPr>
        <w:t xml:space="preserve"> F, Ghadimi K, </w:t>
      </w:r>
      <w:proofErr w:type="spellStart"/>
      <w:r w:rsidRPr="00511E61">
        <w:rPr>
          <w:sz w:val="18"/>
          <w:szCs w:val="18"/>
        </w:rPr>
        <w:t>Madahian</w:t>
      </w:r>
      <w:proofErr w:type="spellEnd"/>
      <w:r w:rsidRPr="00511E61">
        <w:rPr>
          <w:sz w:val="18"/>
          <w:szCs w:val="18"/>
        </w:rPr>
        <w:t xml:space="preserve"> P. Evaluation of Clinical Symptoms in Patients with Different Severities of Carpal Tunnel Syndrome. Caspian J </w:t>
      </w:r>
      <w:proofErr w:type="spellStart"/>
      <w:r w:rsidRPr="00511E61">
        <w:rPr>
          <w:sz w:val="18"/>
          <w:szCs w:val="18"/>
        </w:rPr>
        <w:t>Neurol</w:t>
      </w:r>
      <w:proofErr w:type="spellEnd"/>
      <w:r w:rsidRPr="00511E61">
        <w:rPr>
          <w:sz w:val="18"/>
          <w:szCs w:val="18"/>
        </w:rPr>
        <w:t xml:space="preserve"> </w:t>
      </w:r>
      <w:proofErr w:type="spellStart"/>
      <w:r w:rsidRPr="00511E61">
        <w:rPr>
          <w:sz w:val="18"/>
          <w:szCs w:val="18"/>
        </w:rPr>
        <w:t>Sci</w:t>
      </w:r>
      <w:proofErr w:type="spellEnd"/>
      <w:r w:rsidRPr="00511E61">
        <w:rPr>
          <w:sz w:val="18"/>
          <w:szCs w:val="18"/>
        </w:rPr>
        <w:t xml:space="preserve"> 2017; 3(10): 143-150.</w:t>
      </w:r>
    </w:p>
    <w:p w:rsidR="00BF13F2" w:rsidRPr="00511E61" w:rsidRDefault="00BF13F2" w:rsidP="00BF13F2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szCs w:val="18"/>
        </w:rPr>
      </w:pPr>
      <w:r w:rsidRPr="00A575F2">
        <w:rPr>
          <w:noProof/>
          <w:sz w:val="18"/>
          <w:szCs w:val="18"/>
        </w:rPr>
        <w:t>Mehvari</w:t>
      </w:r>
      <w:r w:rsidRPr="00511E61">
        <w:rPr>
          <w:sz w:val="18"/>
          <w:szCs w:val="18"/>
        </w:rPr>
        <w:t xml:space="preserve"> J, </w:t>
      </w:r>
      <w:proofErr w:type="spellStart"/>
      <w:r w:rsidRPr="00511E61">
        <w:rPr>
          <w:sz w:val="18"/>
          <w:szCs w:val="18"/>
        </w:rPr>
        <w:t>Zare</w:t>
      </w:r>
      <w:proofErr w:type="spellEnd"/>
      <w:r w:rsidRPr="00511E61">
        <w:rPr>
          <w:sz w:val="18"/>
          <w:szCs w:val="18"/>
        </w:rPr>
        <w:t xml:space="preserve"> M, </w:t>
      </w:r>
      <w:proofErr w:type="spellStart"/>
      <w:r w:rsidRPr="00511E61">
        <w:rPr>
          <w:sz w:val="18"/>
          <w:szCs w:val="18"/>
        </w:rPr>
        <w:t>Andami</w:t>
      </w:r>
      <w:proofErr w:type="spellEnd"/>
      <w:r w:rsidRPr="00511E61">
        <w:rPr>
          <w:sz w:val="18"/>
          <w:szCs w:val="18"/>
        </w:rPr>
        <w:t xml:space="preserve"> R, Ghadimi K, </w:t>
      </w:r>
      <w:proofErr w:type="spellStart"/>
      <w:r w:rsidRPr="00511E61">
        <w:rPr>
          <w:sz w:val="18"/>
          <w:szCs w:val="18"/>
        </w:rPr>
        <w:t>Tabrizi</w:t>
      </w:r>
      <w:proofErr w:type="spellEnd"/>
      <w:r w:rsidRPr="00511E61">
        <w:rPr>
          <w:sz w:val="18"/>
          <w:szCs w:val="18"/>
        </w:rPr>
        <w:t xml:space="preserve"> N. Ictal and </w:t>
      </w:r>
      <w:proofErr w:type="spellStart"/>
      <w:r w:rsidRPr="00511E61">
        <w:rPr>
          <w:sz w:val="18"/>
          <w:szCs w:val="18"/>
        </w:rPr>
        <w:t>Interictal</w:t>
      </w:r>
      <w:proofErr w:type="spellEnd"/>
      <w:r w:rsidRPr="00511E61">
        <w:rPr>
          <w:sz w:val="18"/>
          <w:szCs w:val="18"/>
        </w:rPr>
        <w:t xml:space="preserve"> Electroencephalography of Mesial and Lateral Temporal Lobe Epilepsy; A Comparative Study. Caspian J </w:t>
      </w:r>
      <w:proofErr w:type="spellStart"/>
      <w:r w:rsidRPr="00511E61">
        <w:rPr>
          <w:sz w:val="18"/>
          <w:szCs w:val="18"/>
        </w:rPr>
        <w:t>Neurol</w:t>
      </w:r>
      <w:proofErr w:type="spellEnd"/>
      <w:r w:rsidRPr="00511E61">
        <w:rPr>
          <w:sz w:val="18"/>
          <w:szCs w:val="18"/>
        </w:rPr>
        <w:t xml:space="preserve"> </w:t>
      </w:r>
      <w:proofErr w:type="spellStart"/>
      <w:r w:rsidRPr="00511E61">
        <w:rPr>
          <w:sz w:val="18"/>
          <w:szCs w:val="18"/>
        </w:rPr>
        <w:t>Sci</w:t>
      </w:r>
      <w:proofErr w:type="spellEnd"/>
      <w:r w:rsidRPr="00511E61">
        <w:rPr>
          <w:sz w:val="18"/>
          <w:szCs w:val="18"/>
        </w:rPr>
        <w:t xml:space="preserve"> 2017; 3(11): 222-230</w:t>
      </w:r>
    </w:p>
    <w:p w:rsidR="00AE3E37" w:rsidRPr="00511E61" w:rsidRDefault="00BF13F2" w:rsidP="00BF13F2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szCs w:val="18"/>
        </w:rPr>
      </w:pPr>
      <w:proofErr w:type="spellStart"/>
      <w:r w:rsidRPr="00511E61">
        <w:rPr>
          <w:sz w:val="18"/>
          <w:szCs w:val="18"/>
        </w:rPr>
        <w:t>Etemadifar</w:t>
      </w:r>
      <w:proofErr w:type="spellEnd"/>
      <w:r w:rsidRPr="00511E61">
        <w:rPr>
          <w:sz w:val="18"/>
          <w:szCs w:val="18"/>
        </w:rPr>
        <w:t xml:space="preserve"> M, Ghadimi M, Ghadimi K, </w:t>
      </w:r>
      <w:proofErr w:type="spellStart"/>
      <w:r w:rsidRPr="00511E61">
        <w:rPr>
          <w:sz w:val="18"/>
          <w:szCs w:val="18"/>
        </w:rPr>
        <w:t>Alsahebfosoul</w:t>
      </w:r>
      <w:proofErr w:type="spellEnd"/>
      <w:r w:rsidRPr="00511E61">
        <w:rPr>
          <w:sz w:val="18"/>
          <w:szCs w:val="18"/>
        </w:rPr>
        <w:t xml:space="preserve"> F. The Effect of Serum Amyloid Β</w:t>
      </w:r>
      <w:r w:rsidRPr="00511E61">
        <w:rPr>
          <w:sz w:val="18"/>
          <w:szCs w:val="18"/>
        </w:rPr>
        <w:t xml:space="preserve"> </w:t>
      </w:r>
      <w:r w:rsidRPr="00511E61">
        <w:rPr>
          <w:sz w:val="18"/>
          <w:szCs w:val="18"/>
        </w:rPr>
        <w:t xml:space="preserve">Levels on Multiple Sclerosis: A </w:t>
      </w:r>
      <w:r w:rsidRPr="00A575F2">
        <w:rPr>
          <w:noProof/>
          <w:sz w:val="18"/>
          <w:szCs w:val="18"/>
        </w:rPr>
        <w:t>Case Control</w:t>
      </w:r>
      <w:r w:rsidRPr="00511E61">
        <w:rPr>
          <w:sz w:val="18"/>
          <w:szCs w:val="18"/>
        </w:rPr>
        <w:t xml:space="preserve"> Study. Caspian J </w:t>
      </w:r>
      <w:proofErr w:type="spellStart"/>
      <w:r w:rsidRPr="00511E61">
        <w:rPr>
          <w:sz w:val="18"/>
          <w:szCs w:val="18"/>
        </w:rPr>
        <w:t>Neurol</w:t>
      </w:r>
      <w:proofErr w:type="spellEnd"/>
      <w:r w:rsidRPr="00511E61">
        <w:rPr>
          <w:sz w:val="18"/>
          <w:szCs w:val="18"/>
        </w:rPr>
        <w:t xml:space="preserve"> </w:t>
      </w:r>
      <w:proofErr w:type="spellStart"/>
      <w:r w:rsidRPr="00511E61">
        <w:rPr>
          <w:sz w:val="18"/>
          <w:szCs w:val="18"/>
        </w:rPr>
        <w:t>Sci</w:t>
      </w:r>
      <w:proofErr w:type="spellEnd"/>
      <w:r w:rsidRPr="00511E61">
        <w:rPr>
          <w:sz w:val="18"/>
          <w:szCs w:val="18"/>
        </w:rPr>
        <w:t xml:space="preserve"> 2017; 3(11): 214-</w:t>
      </w:r>
      <w:r w:rsidRPr="00511E61">
        <w:rPr>
          <w:sz w:val="18"/>
          <w:szCs w:val="18"/>
        </w:rPr>
        <w:t>221</w:t>
      </w:r>
    </w:p>
    <w:p w:rsidR="00BF13F2" w:rsidRPr="00511E61" w:rsidRDefault="00BF13F2" w:rsidP="00BF13F2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szCs w:val="18"/>
        </w:rPr>
      </w:pPr>
      <w:proofErr w:type="spellStart"/>
      <w:r w:rsidRPr="00511E61">
        <w:rPr>
          <w:sz w:val="18"/>
          <w:szCs w:val="18"/>
        </w:rPr>
        <w:t>Shakibaei</w:t>
      </w:r>
      <w:proofErr w:type="spellEnd"/>
      <w:r w:rsidRPr="00511E61">
        <w:rPr>
          <w:sz w:val="18"/>
          <w:szCs w:val="18"/>
        </w:rPr>
        <w:t xml:space="preserve"> F, </w:t>
      </w:r>
      <w:proofErr w:type="spellStart"/>
      <w:r w:rsidRPr="00511E61">
        <w:rPr>
          <w:sz w:val="18"/>
          <w:szCs w:val="18"/>
        </w:rPr>
        <w:t>Kahkeshani</w:t>
      </w:r>
      <w:proofErr w:type="spellEnd"/>
      <w:r w:rsidRPr="00511E61">
        <w:rPr>
          <w:sz w:val="18"/>
          <w:szCs w:val="18"/>
        </w:rPr>
        <w:t xml:space="preserve"> M, Ghadimi K. The Effect of </w:t>
      </w:r>
      <w:proofErr w:type="spellStart"/>
      <w:r w:rsidRPr="00511E61">
        <w:rPr>
          <w:sz w:val="18"/>
          <w:szCs w:val="18"/>
        </w:rPr>
        <w:t>Triphala</w:t>
      </w:r>
      <w:proofErr w:type="spellEnd"/>
      <w:r w:rsidRPr="00511E61">
        <w:rPr>
          <w:sz w:val="18"/>
          <w:szCs w:val="18"/>
        </w:rPr>
        <w:t xml:space="preserve"> Lavender Tablets on the Treatment</w:t>
      </w:r>
      <w:r w:rsidRPr="00511E61">
        <w:rPr>
          <w:sz w:val="18"/>
          <w:szCs w:val="18"/>
        </w:rPr>
        <w:t xml:space="preserve"> </w:t>
      </w:r>
      <w:r w:rsidRPr="00511E61">
        <w:rPr>
          <w:sz w:val="18"/>
          <w:szCs w:val="18"/>
        </w:rPr>
        <w:t xml:space="preserve">of Children with Attention Deficit/Hyperactivity Disorder. J Isfahan Med </w:t>
      </w:r>
      <w:proofErr w:type="spellStart"/>
      <w:r w:rsidRPr="00511E61">
        <w:rPr>
          <w:sz w:val="18"/>
          <w:szCs w:val="18"/>
        </w:rPr>
        <w:t>Sch</w:t>
      </w:r>
      <w:proofErr w:type="spellEnd"/>
      <w:r w:rsidRPr="00511E61">
        <w:rPr>
          <w:sz w:val="18"/>
          <w:szCs w:val="18"/>
        </w:rPr>
        <w:t xml:space="preserve"> 2018; 36(466): 42-8.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fa-I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B7930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anchorx="page"/>
                <w10:anchorlock/>
              </v:group>
            </w:pict>
          </mc:Fallback>
        </mc:AlternateContent>
      </w:r>
    </w:p>
    <w:p w:rsidR="00A575F2" w:rsidRDefault="008756E6" w:rsidP="00A575F2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lastRenderedPageBreak/>
        <w:t xml:space="preserve">              </w:t>
      </w:r>
      <w:r w:rsidR="00A575F2">
        <w:rPr>
          <w:noProof/>
          <w:lang w:bidi="fa-IR"/>
        </w:rPr>
        <w:drawing>
          <wp:inline distT="0" distB="0" distL="0" distR="0" wp14:anchorId="44FD31AC" wp14:editId="5A38E211">
            <wp:extent cx="779318" cy="1039091"/>
            <wp:effectExtent l="0" t="0" r="190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3909" cy="1058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75F2">
        <w:rPr>
          <w:noProof/>
          <w:lang w:bidi="fa-IR"/>
        </w:rPr>
        <w:t xml:space="preserve"> </w:t>
      </w:r>
    </w:p>
    <w:p w:rsidR="00A575F2" w:rsidRDefault="00A9710C" w:rsidP="00A575F2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r w:rsidR="00404E5B" w:rsidRPr="00A575F2">
        <w:rPr>
          <w:rFonts w:ascii="Arial"/>
          <w:noProof/>
          <w:color w:val="BF5A14"/>
        </w:rPr>
        <w:t>150</w:t>
      </w:r>
      <w:r w:rsidR="00A575F2">
        <w:rPr>
          <w:rFonts w:ascii="Arial"/>
          <w:noProof/>
          <w:color w:val="BF5A14"/>
        </w:rPr>
        <w:t>-</w:t>
      </w:r>
      <w:r w:rsidR="00404E5B" w:rsidRPr="00A575F2">
        <w:rPr>
          <w:rFonts w:ascii="Arial"/>
          <w:noProof/>
          <w:color w:val="BF5A14"/>
        </w:rPr>
        <w:t>word</w:t>
      </w:r>
      <w:r w:rsidR="00404E5B">
        <w:rPr>
          <w:rFonts w:ascii="Arial"/>
          <w:color w:val="BF5A14"/>
        </w:rPr>
        <w:t xml:space="preserve"> limit)</w:t>
      </w:r>
    </w:p>
    <w:p w:rsidR="00A575F2" w:rsidRDefault="00A575F2" w:rsidP="00A575F2">
      <w:pPr>
        <w:spacing w:before="92"/>
        <w:ind w:right="4234"/>
        <w:jc w:val="both"/>
        <w:rPr>
          <w:rFonts w:ascii="Arial"/>
          <w:sz w:val="14"/>
        </w:rPr>
      </w:pPr>
      <w:r w:rsidRPr="00A575F2">
        <w:rPr>
          <w:rFonts w:ascii="Arial"/>
          <w:sz w:val="14"/>
        </w:rPr>
        <w:t xml:space="preserve">Keyvan </w:t>
      </w:r>
      <w:r>
        <w:rPr>
          <w:rFonts w:ascii="Arial"/>
          <w:sz w:val="14"/>
        </w:rPr>
        <w:t xml:space="preserve">Ghadimi </w:t>
      </w:r>
      <w:r w:rsidRPr="00A575F2">
        <w:rPr>
          <w:rFonts w:ascii="Arial"/>
          <w:sz w:val="14"/>
        </w:rPr>
        <w:t xml:space="preserve">has completed his medical education at </w:t>
      </w:r>
      <w:r>
        <w:rPr>
          <w:rFonts w:ascii="Arial"/>
          <w:sz w:val="14"/>
        </w:rPr>
        <w:t xml:space="preserve">the </w:t>
      </w:r>
      <w:r w:rsidRPr="00A575F2">
        <w:rPr>
          <w:rFonts w:ascii="Arial"/>
          <w:noProof/>
          <w:sz w:val="14"/>
        </w:rPr>
        <w:t>Isfahan</w:t>
      </w:r>
      <w:r w:rsidRPr="00A575F2">
        <w:rPr>
          <w:rFonts w:ascii="Arial"/>
          <w:sz w:val="14"/>
        </w:rPr>
        <w:t xml:space="preserve"> University of Medical Sciences-Iran. He works in different fields of research. His research fields include Neurology, Neuroscience, </w:t>
      </w:r>
      <w:proofErr w:type="spellStart"/>
      <w:r w:rsidRPr="00A575F2">
        <w:rPr>
          <w:rFonts w:ascii="Arial"/>
          <w:sz w:val="14"/>
        </w:rPr>
        <w:t>Neuroimmunology</w:t>
      </w:r>
      <w:proofErr w:type="spellEnd"/>
      <w:r w:rsidRPr="00A575F2">
        <w:rPr>
          <w:rFonts w:ascii="Arial"/>
          <w:sz w:val="14"/>
        </w:rPr>
        <w:t>, Neurosurgery, Neuro</w:t>
      </w:r>
      <w:r>
        <w:rPr>
          <w:rFonts w:ascii="Arial"/>
          <w:sz w:val="14"/>
        </w:rPr>
        <w:t>psychiatric,</w:t>
      </w:r>
      <w:r w:rsidRPr="00A575F2">
        <w:rPr>
          <w:rFonts w:ascii="Arial"/>
          <w:sz w:val="14"/>
        </w:rPr>
        <w:t xml:space="preserve"> </w:t>
      </w:r>
      <w:r w:rsidRPr="00A575F2">
        <w:rPr>
          <w:rFonts w:ascii="Arial"/>
          <w:noProof/>
          <w:sz w:val="14"/>
        </w:rPr>
        <w:t>and</w:t>
      </w:r>
      <w:r w:rsidRPr="00A575F2">
        <w:rPr>
          <w:rFonts w:ascii="Arial"/>
          <w:sz w:val="14"/>
        </w:rPr>
        <w:t xml:space="preserve"> Surgery. He has also been active in statistics and is the dominant </w:t>
      </w:r>
      <w:r>
        <w:rPr>
          <w:rFonts w:ascii="Arial"/>
          <w:sz w:val="14"/>
        </w:rPr>
        <w:t xml:space="preserve">SPSS </w:t>
      </w:r>
      <w:r w:rsidRPr="00A575F2">
        <w:rPr>
          <w:rFonts w:ascii="Arial"/>
          <w:sz w:val="14"/>
        </w:rPr>
        <w:t>software</w:t>
      </w:r>
    </w:p>
    <w:p w:rsidR="00AE3E37" w:rsidRPr="00A575F2" w:rsidRDefault="00A9710C" w:rsidP="00A575F2">
      <w:pPr>
        <w:spacing w:before="92"/>
        <w:ind w:right="4234"/>
        <w:rPr>
          <w:rFonts w:ascii="Arial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0305C" w:rsidRPr="007D1192">
          <w:rPr>
            <w:rStyle w:val="Hyperlink"/>
            <w:rFonts w:ascii="Arial"/>
            <w:sz w:val="14"/>
          </w:rPr>
          <w:t>Keyvanghadimi@yahoo.com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44F096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575F2" w:rsidP="00A575F2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lastRenderedPageBreak/>
        <w:t xml:space="preserve">Thank you for your invitation for me as speaker, I want to be </w:t>
      </w:r>
      <w:r w:rsidRPr="00A575F2">
        <w:rPr>
          <w:rFonts w:ascii="Minion Pro"/>
          <w:noProof/>
          <w:sz w:val="26"/>
        </w:rPr>
        <w:t>founded</w:t>
      </w:r>
      <w:r>
        <w:rPr>
          <w:rFonts w:ascii="Minion Pro"/>
          <w:sz w:val="26"/>
        </w:rPr>
        <w:t xml:space="preserve"> and </w:t>
      </w:r>
      <w:r w:rsidRPr="00A575F2">
        <w:rPr>
          <w:rFonts w:ascii="Minion Pro"/>
          <w:noProof/>
          <w:sz w:val="26"/>
        </w:rPr>
        <w:t>accommodation</w:t>
      </w:r>
      <w:r>
        <w:rPr>
          <w:rFonts w:ascii="Minion Pro"/>
          <w:sz w:val="26"/>
        </w:rPr>
        <w:t xml:space="preserve"> for perc</w:t>
      </w:r>
      <w:bookmarkStart w:id="0" w:name="_GoBack"/>
      <w:bookmarkEnd w:id="0"/>
      <w:r>
        <w:rPr>
          <w:rFonts w:ascii="Minion Pro"/>
          <w:sz w:val="26"/>
        </w:rPr>
        <w:t xml:space="preserve">eption in the conference. </w: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C52" w:rsidRDefault="00442C52">
      <w:r>
        <w:separator/>
      </w:r>
    </w:p>
  </w:endnote>
  <w:endnote w:type="continuationSeparator" w:id="0">
    <w:p w:rsidR="00442C52" w:rsidRDefault="00442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C52" w:rsidRDefault="00442C52">
      <w:r>
        <w:separator/>
      </w:r>
    </w:p>
  </w:footnote>
  <w:footnote w:type="continuationSeparator" w:id="0">
    <w:p w:rsidR="00442C52" w:rsidRDefault="00442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wMrW0NLI0tDAwNzZX0lEKTi0uzszPAykwrAUAUwd7HCwAAAA="/>
  </w:docVars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42C52"/>
    <w:rsid w:val="004749B4"/>
    <w:rsid w:val="00494130"/>
    <w:rsid w:val="004F3523"/>
    <w:rsid w:val="00511E61"/>
    <w:rsid w:val="005973B9"/>
    <w:rsid w:val="005B3A56"/>
    <w:rsid w:val="006060CE"/>
    <w:rsid w:val="0063497F"/>
    <w:rsid w:val="0070305C"/>
    <w:rsid w:val="0078738A"/>
    <w:rsid w:val="00873DF0"/>
    <w:rsid w:val="008756E6"/>
    <w:rsid w:val="009B2D44"/>
    <w:rsid w:val="00A07E82"/>
    <w:rsid w:val="00A575F2"/>
    <w:rsid w:val="00A9710C"/>
    <w:rsid w:val="00AE3E37"/>
    <w:rsid w:val="00B21A57"/>
    <w:rsid w:val="00BF13F2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58087B70"/>
  <w15:docId w15:val="{35D417CB-FEB1-422B-8D72-3262F7CE0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yvanghadimi@yaho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keyvan ghadimi</cp:lastModifiedBy>
  <cp:revision>7</cp:revision>
  <dcterms:created xsi:type="dcterms:W3CDTF">2016-08-31T13:10:00Z</dcterms:created>
  <dcterms:modified xsi:type="dcterms:W3CDTF">2018-06-21T04:08:00Z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