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9256D" w14:textId="77777777" w:rsidR="002C52DD" w:rsidRPr="002C52DD" w:rsidRDefault="002C52DD" w:rsidP="002C52DD">
      <w:pPr>
        <w:widowControl/>
        <w:spacing w:before="100" w:beforeAutospacing="1" w:after="100" w:afterAutospacing="1"/>
        <w:jc w:val="both"/>
        <w:rPr>
          <w:rFonts w:ascii="Times New Roman" w:eastAsia="Times New Roman" w:hAnsi="Times New Roman" w:cs="Times New Roman"/>
          <w:b/>
          <w:sz w:val="28"/>
          <w:szCs w:val="28"/>
        </w:rPr>
      </w:pPr>
      <w:r w:rsidRPr="002C52DD">
        <w:rPr>
          <w:rFonts w:ascii="Times New Roman" w:eastAsia="Times New Roman" w:hAnsi="Times New Roman" w:cs="Times New Roman"/>
          <w:b/>
          <w:iCs/>
          <w:sz w:val="28"/>
          <w:szCs w:val="28"/>
        </w:rPr>
        <w:t xml:space="preserve">Amyloid-neuroinflammatory cascade in neurodegenerative diseases – role of pro-inflammatory S100 proteins. </w:t>
      </w:r>
    </w:p>
    <w:p w14:paraId="488FC3F9" w14:textId="77777777" w:rsidR="002C52DD" w:rsidRPr="002C52DD" w:rsidRDefault="002C52DD" w:rsidP="007E5638">
      <w:pPr>
        <w:widowControl/>
        <w:jc w:val="both"/>
        <w:rPr>
          <w:rFonts w:ascii="Times New Roman" w:eastAsia="Calibri" w:hAnsi="Times New Roman" w:cs="Times New Roman"/>
          <w:b/>
          <w:color w:val="000000"/>
          <w:sz w:val="24"/>
          <w:szCs w:val="24"/>
          <w:shd w:val="clear" w:color="auto" w:fill="FFFFFF"/>
        </w:rPr>
      </w:pPr>
      <w:r w:rsidRPr="002C52DD">
        <w:rPr>
          <w:rFonts w:ascii="Times New Roman" w:eastAsia="Calibri" w:hAnsi="Times New Roman" w:cs="Times New Roman"/>
          <w:b/>
          <w:color w:val="000000"/>
          <w:sz w:val="24"/>
          <w:szCs w:val="24"/>
          <w:shd w:val="clear" w:color="auto" w:fill="FFFFFF"/>
        </w:rPr>
        <w:t>Ludmilla A. Morozova-Roche</w:t>
      </w:r>
    </w:p>
    <w:p w14:paraId="4E5DF0D0" w14:textId="1CFD9624" w:rsidR="002C52DD" w:rsidRDefault="002C52DD" w:rsidP="007E5638">
      <w:pPr>
        <w:widowControl/>
        <w:jc w:val="both"/>
        <w:rPr>
          <w:rFonts w:ascii="Times New Roman" w:eastAsia="Calibri" w:hAnsi="Times New Roman" w:cs="Times New Roman"/>
          <w:color w:val="000000"/>
          <w:sz w:val="24"/>
          <w:szCs w:val="24"/>
          <w:shd w:val="clear" w:color="auto" w:fill="FFFFFF"/>
        </w:rPr>
      </w:pPr>
      <w:r w:rsidRPr="002C52DD">
        <w:rPr>
          <w:rFonts w:ascii="Times New Roman" w:eastAsia="Calibri" w:hAnsi="Times New Roman" w:cs="Times New Roman"/>
          <w:color w:val="000000"/>
          <w:sz w:val="24"/>
          <w:szCs w:val="24"/>
          <w:shd w:val="clear" w:color="auto" w:fill="FFFFFF"/>
        </w:rPr>
        <w:t>Department of Medical Biochemistry and Biophysics, Umeå University, Umeå, Sweden</w:t>
      </w:r>
    </w:p>
    <w:p w14:paraId="32814771" w14:textId="77777777" w:rsidR="007E5638" w:rsidRDefault="007E5638" w:rsidP="007E5638">
      <w:pPr>
        <w:widowControl/>
        <w:jc w:val="both"/>
        <w:rPr>
          <w:rFonts w:ascii="Times New Roman" w:hAnsi="Times New Roman" w:cs="Times New Roman"/>
          <w:color w:val="000000"/>
          <w:shd w:val="clear" w:color="auto" w:fill="FFFFFF"/>
        </w:rPr>
      </w:pPr>
    </w:p>
    <w:p w14:paraId="4775AFA8" w14:textId="0EA030EA" w:rsidR="002C52DD" w:rsidRPr="002C52DD" w:rsidRDefault="002C52DD" w:rsidP="007E5638">
      <w:pPr>
        <w:widowControl/>
        <w:jc w:val="both"/>
        <w:rPr>
          <w:rFonts w:ascii="Times New Roman" w:eastAsia="Calibri" w:hAnsi="Times New Roman" w:cs="Times New Roman"/>
          <w:color w:val="000000"/>
          <w:sz w:val="24"/>
          <w:szCs w:val="24"/>
          <w:shd w:val="clear" w:color="auto" w:fill="FFFFFF"/>
        </w:rPr>
      </w:pPr>
      <w:r w:rsidRPr="00D11404">
        <w:rPr>
          <w:rFonts w:ascii="Times New Roman" w:hAnsi="Times New Roman" w:cs="Times New Roman"/>
          <w:color w:val="000000"/>
          <w:shd w:val="clear" w:color="auto" w:fill="FFFFFF"/>
        </w:rPr>
        <w:t>Chronic neuroinflammation is a hallmark of neurodegenerative diseases, associated with increased levels of pro-inflammatory factors in the brain tissues.</w:t>
      </w:r>
    </w:p>
    <w:p w14:paraId="1CE8C82B" w14:textId="3E8EA24C"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00F50864" w14:textId="0403B373" w:rsidR="002C52DD" w:rsidRPr="002C52DD" w:rsidRDefault="002C52DD" w:rsidP="007E5638">
      <w:pPr>
        <w:pStyle w:val="BodyText"/>
        <w:jc w:val="both"/>
        <w:rPr>
          <w:rFonts w:ascii="Times New Roman" w:hAnsi="Times New Roman" w:cs="Times New Roman"/>
          <w:sz w:val="24"/>
          <w:szCs w:val="24"/>
        </w:rPr>
      </w:pPr>
      <w:r>
        <w:rPr>
          <w:rFonts w:ascii="Times New Roman" w:hAnsi="Times New Roman" w:cs="Times New Roman"/>
          <w:sz w:val="24"/>
          <w:szCs w:val="24"/>
        </w:rPr>
        <w:t>The research was conducted by using a r</w:t>
      </w:r>
      <w:r w:rsidRPr="002C52DD">
        <w:rPr>
          <w:rFonts w:ascii="Times New Roman" w:hAnsi="Times New Roman" w:cs="Times New Roman"/>
          <w:sz w:val="24"/>
          <w:szCs w:val="24"/>
        </w:rPr>
        <w:t xml:space="preserve">ange of biophysical and biochemical techniques </w:t>
      </w:r>
      <w:r>
        <w:rPr>
          <w:rFonts w:ascii="Times New Roman" w:hAnsi="Times New Roman" w:cs="Times New Roman"/>
          <w:sz w:val="24"/>
          <w:szCs w:val="24"/>
        </w:rPr>
        <w:t xml:space="preserve">such </w:t>
      </w:r>
      <w:r w:rsidRPr="002C52DD">
        <w:rPr>
          <w:rFonts w:ascii="Times New Roman" w:hAnsi="Times New Roman" w:cs="Times New Roman"/>
          <w:sz w:val="24"/>
          <w:szCs w:val="24"/>
        </w:rPr>
        <w:t xml:space="preserve">as AFM, fluorescence, NMR, surface </w:t>
      </w:r>
      <w:proofErr w:type="spellStart"/>
      <w:r w:rsidRPr="002C52DD">
        <w:rPr>
          <w:rFonts w:ascii="Times New Roman" w:hAnsi="Times New Roman" w:cs="Times New Roman"/>
          <w:sz w:val="24"/>
          <w:szCs w:val="24"/>
        </w:rPr>
        <w:t>plasmon</w:t>
      </w:r>
      <w:proofErr w:type="spellEnd"/>
      <w:r w:rsidRPr="002C52DD">
        <w:rPr>
          <w:rFonts w:ascii="Times New Roman" w:hAnsi="Times New Roman" w:cs="Times New Roman"/>
          <w:sz w:val="24"/>
          <w:szCs w:val="24"/>
        </w:rPr>
        <w:t xml:space="preserve"> resonanc</w:t>
      </w:r>
      <w:bookmarkStart w:id="0" w:name="_GoBack"/>
      <w:bookmarkEnd w:id="0"/>
      <w:r w:rsidRPr="002C52DD">
        <w:rPr>
          <w:rFonts w:ascii="Times New Roman" w:hAnsi="Times New Roman" w:cs="Times New Roman"/>
          <w:sz w:val="24"/>
          <w:szCs w:val="24"/>
        </w:rPr>
        <w:t>e</w:t>
      </w:r>
      <w:r>
        <w:rPr>
          <w:rFonts w:ascii="Times New Roman" w:hAnsi="Times New Roman" w:cs="Times New Roman"/>
          <w:sz w:val="24"/>
          <w:szCs w:val="24"/>
        </w:rPr>
        <w:t xml:space="preserve">, </w:t>
      </w:r>
      <w:r>
        <w:rPr>
          <w:rFonts w:ascii="Times New Roman" w:hAnsi="Times New Roman" w:cs="Times New Roman"/>
          <w:sz w:val="24"/>
          <w:szCs w:val="24"/>
        </w:rPr>
        <w:t>circular dichroism</w:t>
      </w:r>
      <w:r>
        <w:rPr>
          <w:rFonts w:ascii="Times New Roman" w:hAnsi="Times New Roman" w:cs="Times New Roman"/>
          <w:sz w:val="24"/>
          <w:szCs w:val="24"/>
        </w:rPr>
        <w:t xml:space="preserve">, ELISA and western blots; </w:t>
      </w:r>
      <w:r>
        <w:rPr>
          <w:rFonts w:ascii="Times New Roman" w:hAnsi="Times New Roman" w:cs="Times New Roman"/>
          <w:sz w:val="24"/>
          <w:szCs w:val="24"/>
        </w:rPr>
        <w:t>cell biological methods</w:t>
      </w:r>
      <w:r>
        <w:rPr>
          <w:rFonts w:ascii="Times New Roman" w:hAnsi="Times New Roman" w:cs="Times New Roman"/>
          <w:sz w:val="24"/>
          <w:szCs w:val="24"/>
        </w:rPr>
        <w:t xml:space="preserve"> and immunohistochemistry and immunocytochemistry.</w:t>
      </w:r>
    </w:p>
    <w:p w14:paraId="2953D976" w14:textId="1D07EA44"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53B301FA" w14:textId="487BCBE1" w:rsidR="002C52DD" w:rsidRDefault="002C52DD" w:rsidP="007E5638">
      <w:pPr>
        <w:pStyle w:val="BodyText"/>
        <w:jc w:val="both"/>
        <w:rPr>
          <w:rFonts w:ascii="Times New Roman" w:hAnsi="Times New Roman" w:cs="Times New Roman"/>
          <w:b/>
          <w:color w:val="BF5A14"/>
          <w:sz w:val="20"/>
          <w:szCs w:val="20"/>
        </w:rPr>
      </w:pPr>
      <w:r w:rsidRPr="002C52DD">
        <w:rPr>
          <w:rFonts w:ascii="Times New Roman" w:eastAsia="Calibri" w:hAnsi="Times New Roman" w:cs="Times New Roman"/>
          <w:color w:val="000000"/>
          <w:sz w:val="24"/>
          <w:szCs w:val="24"/>
          <w:shd w:val="clear" w:color="auto" w:fill="FFFFFF"/>
          <w:lang w:val="en-GB"/>
        </w:rPr>
        <w:t>We have shown that the pro-inflammatory mediator and highly amyloidogenic protein S100A9 is involved in the amyloid-neuroinflammatory cascades in Alzheimer’s disease, where it co-aggregates with A</w:t>
      </w:r>
      <w:r w:rsidRPr="002C52DD">
        <w:rPr>
          <w:rFonts w:ascii="Times New Roman" w:eastAsia="Calibri" w:hAnsi="Times New Roman" w:cs="Times New Roman"/>
          <w:color w:val="000000"/>
          <w:sz w:val="24"/>
          <w:szCs w:val="24"/>
          <w:shd w:val="clear" w:color="auto" w:fill="FFFFFF"/>
          <w:lang w:val="en-GB"/>
        </w:rPr>
        <w:sym w:font="Symbol" w:char="F062"/>
      </w:r>
      <w:r w:rsidRPr="002C52DD">
        <w:rPr>
          <w:rFonts w:ascii="Times New Roman" w:eastAsia="Calibri" w:hAnsi="Times New Roman" w:cs="Times New Roman"/>
          <w:color w:val="000000"/>
          <w:sz w:val="24"/>
          <w:szCs w:val="24"/>
          <w:shd w:val="clear" w:color="auto" w:fill="FFFFFF"/>
          <w:lang w:val="en-GB"/>
        </w:rPr>
        <w:t xml:space="preserve"> peptide, contributing to amyloid plaque formation and intracellular aggregation [1], in Parkinson’s disease – it forms co-aggregates with </w:t>
      </w:r>
      <w:r w:rsidRPr="002C52DD">
        <w:rPr>
          <w:rFonts w:ascii="Times New Roman" w:eastAsia="Calibri" w:hAnsi="Times New Roman" w:cs="Times New Roman"/>
          <w:color w:val="000000"/>
          <w:sz w:val="24"/>
          <w:szCs w:val="24"/>
          <w:shd w:val="clear" w:color="auto" w:fill="FFFFFF"/>
          <w:lang w:val="en-GB"/>
        </w:rPr>
        <w:sym w:font="Symbol" w:char="F061"/>
      </w:r>
      <w:r w:rsidRPr="002C52DD">
        <w:rPr>
          <w:rFonts w:ascii="Times New Roman" w:eastAsia="Calibri" w:hAnsi="Times New Roman" w:cs="Times New Roman"/>
          <w:color w:val="000000"/>
          <w:sz w:val="24"/>
          <w:szCs w:val="24"/>
          <w:shd w:val="clear" w:color="auto" w:fill="FFFFFF"/>
          <w:lang w:val="en-GB"/>
        </w:rPr>
        <w:t xml:space="preserve">-synuclein and involves in Lewy body formation [2], and in traumatic brain injury – S100A9  is highly abundant in the brain tissues and forms numerous precursor-plaques. In wild-type mouse model the intranasal administration of S100A9 amyloids induces wide-spread cellular stress responses in the brain tissues and Alzheimer’s-like behavioural impairment in passive avoidance test [3]. </w:t>
      </w:r>
      <w:r w:rsidRPr="002C52DD">
        <w:rPr>
          <w:rFonts w:ascii="Times New Roman" w:eastAsia="Calibri" w:hAnsi="Times New Roman" w:cs="Times New Roman"/>
          <w:color w:val="000000"/>
          <w:sz w:val="24"/>
          <w:szCs w:val="24"/>
          <w:shd w:val="clear" w:color="auto" w:fill="FFFFFF"/>
        </w:rPr>
        <w:t xml:space="preserve">In vitro S100A9 easily aggregates under native pH 7.4 and 37 </w:t>
      </w:r>
      <w:r w:rsidRPr="002C52DD">
        <w:rPr>
          <w:rFonts w:ascii="Times New Roman" w:eastAsia="Calibri" w:hAnsi="Times New Roman" w:cs="Times New Roman"/>
          <w:color w:val="000000"/>
          <w:sz w:val="24"/>
          <w:szCs w:val="24"/>
          <w:shd w:val="clear" w:color="auto" w:fill="FFFFFF"/>
        </w:rPr>
        <w:sym w:font="Symbol" w:char="F0B0"/>
      </w:r>
      <w:r w:rsidRPr="002C52DD">
        <w:rPr>
          <w:rFonts w:ascii="Times New Roman" w:eastAsia="Calibri" w:hAnsi="Times New Roman" w:cs="Times New Roman"/>
          <w:color w:val="000000"/>
          <w:sz w:val="24"/>
          <w:szCs w:val="24"/>
          <w:shd w:val="clear" w:color="auto" w:fill="FFFFFF"/>
        </w:rPr>
        <w:t xml:space="preserve">C conditions and this process is well quantitatively described by generic </w:t>
      </w:r>
      <w:r w:rsidRPr="002C52DD">
        <w:rPr>
          <w:rFonts w:ascii="Times New Roman" w:eastAsia="Calibri" w:hAnsi="Times New Roman" w:cs="Times New Roman"/>
          <w:sz w:val="24"/>
          <w:szCs w:val="24"/>
        </w:rPr>
        <w:t>Finke-</w:t>
      </w:r>
      <w:proofErr w:type="spellStart"/>
      <w:r w:rsidRPr="002C52DD">
        <w:rPr>
          <w:rFonts w:ascii="Times New Roman" w:eastAsia="Calibri" w:hAnsi="Times New Roman" w:cs="Times New Roman"/>
          <w:sz w:val="24"/>
          <w:szCs w:val="24"/>
        </w:rPr>
        <w:t>Watzky</w:t>
      </w:r>
      <w:proofErr w:type="spellEnd"/>
      <w:r w:rsidRPr="002C52DD">
        <w:rPr>
          <w:rFonts w:ascii="Times New Roman" w:eastAsia="Calibri" w:hAnsi="Times New Roman" w:cs="Times New Roman"/>
          <w:sz w:val="24"/>
          <w:szCs w:val="24"/>
        </w:rPr>
        <w:t xml:space="preserve"> two-step nucleation-autocatalytic growth model </w:t>
      </w:r>
      <w:r w:rsidRPr="002C52DD">
        <w:rPr>
          <w:rFonts w:ascii="Times New Roman" w:eastAsia="Calibri" w:hAnsi="Times New Roman" w:cs="Times New Roman"/>
          <w:sz w:val="24"/>
          <w:szCs w:val="24"/>
          <w:lang w:val="en-GB"/>
        </w:rPr>
        <w:t>[4]</w:t>
      </w:r>
      <w:r w:rsidRPr="002C52DD">
        <w:rPr>
          <w:rFonts w:ascii="Times New Roman" w:eastAsia="Calibri" w:hAnsi="Times New Roman" w:cs="Times New Roman"/>
          <w:sz w:val="24"/>
          <w:szCs w:val="24"/>
        </w:rPr>
        <w:t xml:space="preserve">. </w:t>
      </w:r>
      <w:r w:rsidRPr="002C52DD">
        <w:rPr>
          <w:rFonts w:ascii="Times New Roman" w:eastAsia="Calibri" w:hAnsi="Times New Roman" w:cs="Times New Roman"/>
          <w:sz w:val="24"/>
          <w:szCs w:val="24"/>
          <w:lang w:val="en-GB"/>
        </w:rPr>
        <w:t>The co-aggregation of S100A9 with A</w:t>
      </w:r>
      <w:r w:rsidRPr="002C52DD">
        <w:rPr>
          <w:rFonts w:ascii="Times New Roman" w:eastAsia="Calibri" w:hAnsi="Times New Roman" w:cs="Times New Roman"/>
          <w:color w:val="000000"/>
          <w:sz w:val="24"/>
          <w:szCs w:val="24"/>
          <w:shd w:val="clear" w:color="auto" w:fill="FFFFFF"/>
          <w:lang w:val="en-GB"/>
        </w:rPr>
        <w:sym w:font="Symbol" w:char="F062"/>
      </w:r>
      <w:r w:rsidRPr="002C52DD">
        <w:rPr>
          <w:rFonts w:ascii="Times New Roman" w:eastAsia="Calibri" w:hAnsi="Times New Roman" w:cs="Times New Roman"/>
          <w:color w:val="000000"/>
          <w:sz w:val="24"/>
          <w:szCs w:val="24"/>
          <w:shd w:val="clear" w:color="auto" w:fill="FFFFFF"/>
          <w:lang w:val="en-GB"/>
        </w:rPr>
        <w:t xml:space="preserve"> peptide</w:t>
      </w:r>
      <w:r w:rsidRPr="002C52DD">
        <w:rPr>
          <w:rFonts w:ascii="Times New Roman" w:eastAsia="Calibri" w:hAnsi="Times New Roman" w:cs="Times New Roman"/>
          <w:sz w:val="24"/>
          <w:szCs w:val="24"/>
          <w:lang w:val="en-GB"/>
        </w:rPr>
        <w:t xml:space="preserve"> or </w:t>
      </w:r>
      <w:r w:rsidRPr="002C52DD">
        <w:rPr>
          <w:rFonts w:ascii="Times New Roman" w:eastAsia="Calibri" w:hAnsi="Times New Roman" w:cs="Times New Roman"/>
          <w:color w:val="000000"/>
          <w:sz w:val="24"/>
          <w:szCs w:val="24"/>
          <w:shd w:val="clear" w:color="auto" w:fill="FFFFFF"/>
          <w:lang w:val="en-GB"/>
        </w:rPr>
        <w:sym w:font="Symbol" w:char="F061"/>
      </w:r>
      <w:r w:rsidRPr="002C52DD">
        <w:rPr>
          <w:rFonts w:ascii="Times New Roman" w:eastAsia="Calibri" w:hAnsi="Times New Roman" w:cs="Times New Roman"/>
          <w:sz w:val="24"/>
          <w:szCs w:val="24"/>
          <w:lang w:val="en-GB"/>
        </w:rPr>
        <w:t>-synuclein occurs significantly faster and leads to formation of larger amyloid aggregates than the self-assembly of individual proteins. S100A9 amyloid oligomers are more toxic than those of A</w:t>
      </w:r>
      <w:r w:rsidRPr="002C52DD">
        <w:rPr>
          <w:rFonts w:ascii="Times New Roman" w:eastAsia="Calibri" w:hAnsi="Times New Roman" w:cs="Times New Roman"/>
          <w:color w:val="000000"/>
          <w:sz w:val="24"/>
          <w:szCs w:val="24"/>
          <w:shd w:val="clear" w:color="auto" w:fill="FFFFFF"/>
          <w:lang w:val="en-GB"/>
        </w:rPr>
        <w:sym w:font="Symbol" w:char="F062"/>
      </w:r>
      <w:r w:rsidRPr="002C52DD">
        <w:rPr>
          <w:rFonts w:ascii="Times New Roman" w:eastAsia="Calibri" w:hAnsi="Times New Roman" w:cs="Times New Roman"/>
          <w:sz w:val="24"/>
          <w:szCs w:val="24"/>
          <w:lang w:val="en-GB"/>
        </w:rPr>
        <w:t xml:space="preserve"> or α-synuclein, while the co-aggregation with A</w:t>
      </w:r>
      <w:r w:rsidRPr="002C52DD">
        <w:rPr>
          <w:rFonts w:ascii="Times New Roman" w:eastAsia="Calibri" w:hAnsi="Times New Roman" w:cs="Times New Roman"/>
          <w:color w:val="000000"/>
          <w:sz w:val="24"/>
          <w:szCs w:val="24"/>
          <w:shd w:val="clear" w:color="auto" w:fill="FFFFFF"/>
          <w:lang w:val="en-GB"/>
        </w:rPr>
        <w:sym w:font="Symbol" w:char="F062"/>
      </w:r>
      <w:r w:rsidRPr="002C52DD">
        <w:rPr>
          <w:rFonts w:ascii="Times New Roman" w:eastAsia="Calibri" w:hAnsi="Times New Roman" w:cs="Times New Roman"/>
          <w:sz w:val="24"/>
          <w:szCs w:val="24"/>
          <w:lang w:val="en-GB"/>
        </w:rPr>
        <w:t>/ α-synuclein mitigates the cytotoxicity of S100A9 oligomers.</w:t>
      </w:r>
      <w:r w:rsidRPr="002C52DD" w:rsidDel="001F3E77">
        <w:rPr>
          <w:rFonts w:ascii="Times New Roman" w:eastAsia="Calibri" w:hAnsi="Times New Roman" w:cs="Times New Roman"/>
          <w:b/>
          <w:sz w:val="24"/>
          <w:szCs w:val="24"/>
          <w:lang w:val="en-GB"/>
        </w:rPr>
        <w:t xml:space="preserve"> </w:t>
      </w:r>
      <w:r w:rsidRPr="002C52DD">
        <w:rPr>
          <w:rFonts w:ascii="Times New Roman" w:eastAsia="Calibri" w:hAnsi="Times New Roman" w:cs="Times New Roman"/>
          <w:sz w:val="24"/>
          <w:szCs w:val="24"/>
          <w:lang w:val="en-GB"/>
        </w:rPr>
        <w:t xml:space="preserve">The levels of S100A9 follow those of </w:t>
      </w:r>
      <w:proofErr w:type="gramStart"/>
      <w:r w:rsidRPr="002C52DD">
        <w:rPr>
          <w:rFonts w:ascii="Times New Roman" w:eastAsia="Calibri" w:hAnsi="Times New Roman" w:cs="Times New Roman"/>
          <w:sz w:val="24"/>
          <w:szCs w:val="24"/>
          <w:lang w:val="en-GB"/>
        </w:rPr>
        <w:t>A</w:t>
      </w:r>
      <w:proofErr w:type="gramEnd"/>
      <w:r w:rsidRPr="002C52DD">
        <w:rPr>
          <w:rFonts w:ascii="Times New Roman" w:eastAsia="Calibri" w:hAnsi="Times New Roman" w:cs="Times New Roman"/>
          <w:color w:val="000000"/>
          <w:sz w:val="24"/>
          <w:szCs w:val="24"/>
          <w:shd w:val="clear" w:color="auto" w:fill="FFFFFF"/>
          <w:lang w:val="en-GB"/>
        </w:rPr>
        <w:sym w:font="Symbol" w:char="F062"/>
      </w:r>
      <w:r w:rsidRPr="002C52DD">
        <w:rPr>
          <w:rFonts w:ascii="Times New Roman" w:eastAsia="Calibri" w:hAnsi="Times New Roman" w:cs="Times New Roman"/>
          <w:sz w:val="24"/>
          <w:szCs w:val="24"/>
          <w:lang w:val="en-GB"/>
        </w:rPr>
        <w:t xml:space="preserve"> in cerebrospinal fluid during the development of Alzheimer’s disease and S100A9 together with A</w:t>
      </w:r>
      <w:r w:rsidRPr="002C52DD">
        <w:rPr>
          <w:rFonts w:ascii="Times New Roman" w:eastAsia="Calibri" w:hAnsi="Times New Roman" w:cs="Times New Roman"/>
          <w:color w:val="000000"/>
          <w:sz w:val="24"/>
          <w:szCs w:val="24"/>
          <w:shd w:val="clear" w:color="auto" w:fill="FFFFFF"/>
          <w:lang w:val="en-GB"/>
        </w:rPr>
        <w:sym w:font="Symbol" w:char="F062"/>
      </w:r>
      <w:r w:rsidRPr="002C52DD">
        <w:rPr>
          <w:rFonts w:ascii="Times New Roman" w:eastAsia="Calibri" w:hAnsi="Times New Roman" w:cs="Times New Roman"/>
          <w:sz w:val="24"/>
          <w:szCs w:val="24"/>
          <w:lang w:val="en-GB"/>
        </w:rPr>
        <w:t xml:space="preserve"> can serve as a biomarker for early stages of Alzheimer’s disease, starting from mild cognitive impairment [5]</w:t>
      </w:r>
      <w:r w:rsidRPr="002C52DD">
        <w:rPr>
          <w:rFonts w:ascii="Times New Roman" w:eastAsia="Calibri" w:hAnsi="Times New Roman" w:cs="Times New Roman"/>
          <w:sz w:val="24"/>
          <w:szCs w:val="24"/>
        </w:rPr>
        <w:t>.</w:t>
      </w:r>
    </w:p>
    <w:p w14:paraId="10CA546B" w14:textId="01275D85"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5E3B5AFB" w14:textId="1ADDAEE7" w:rsidR="002C52DD" w:rsidRPr="007E5638" w:rsidRDefault="002C52DD" w:rsidP="007E5638">
      <w:pPr>
        <w:widowControl/>
        <w:jc w:val="both"/>
        <w:rPr>
          <w:rFonts w:ascii="Times New Roman" w:eastAsia="Calibri" w:hAnsi="Times New Roman" w:cs="Times New Roman"/>
          <w:b/>
          <w:sz w:val="24"/>
          <w:szCs w:val="24"/>
          <w:lang w:val="en-GB"/>
        </w:rPr>
      </w:pPr>
      <w:r w:rsidRPr="002C52DD">
        <w:rPr>
          <w:rFonts w:ascii="Times New Roman" w:eastAsia="Calibri" w:hAnsi="Times New Roman" w:cs="Times New Roman"/>
          <w:sz w:val="24"/>
          <w:szCs w:val="24"/>
          <w:lang w:val="en-GB"/>
        </w:rPr>
        <w:t>The finding of S100A9 involvement in neurodegenerative diseases may open a new avenue for therapeutic interventions targeting pro-inflammatory S100A9 and preventing the amyloid self-assembly in affected brain tissues.</w:t>
      </w:r>
    </w:p>
    <w:p w14:paraId="3D154A76" w14:textId="6DCF14A9" w:rsidR="005C2E3C" w:rsidRDefault="005C2E3C" w:rsidP="00254333">
      <w:pPr>
        <w:pStyle w:val="BodyText"/>
        <w:spacing w:before="90" w:line="278" w:lineRule="auto"/>
        <w:rPr>
          <w:rFonts w:ascii="Times New Roman" w:hAnsi="Times New Roman" w:cs="Times New Roman"/>
          <w:b/>
          <w:color w:val="BF5A14"/>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r w:rsidR="002C52DD">
        <w:rPr>
          <w:rFonts w:ascii="Times New Roman" w:hAnsi="Times New Roman" w:cs="Times New Roman"/>
          <w:b/>
          <w:color w:val="BF5A14"/>
          <w:sz w:val="20"/>
          <w:szCs w:val="20"/>
        </w:rPr>
        <w:t xml:space="preserve"> </w:t>
      </w:r>
    </w:p>
    <w:p w14:paraId="3ACEB992" w14:textId="77777777" w:rsidR="007E5638" w:rsidRDefault="002C52DD" w:rsidP="007E5638">
      <w:pPr>
        <w:pStyle w:val="NormalWeb"/>
        <w:spacing w:before="0" w:beforeAutospacing="0" w:after="0" w:afterAutospacing="0"/>
        <w:rPr>
          <w:rFonts w:ascii="Calibri" w:eastAsia="MS PGothic" w:hAnsi="Calibri" w:cs="+mn-cs"/>
          <w:b/>
          <w:bCs/>
          <w:color w:val="000000"/>
          <w:kern w:val="24"/>
          <w:sz w:val="28"/>
          <w:szCs w:val="28"/>
        </w:rPr>
      </w:pPr>
      <w:r>
        <w:rPr>
          <w:noProof/>
        </w:rPr>
        <w:drawing>
          <wp:inline distT="0" distB="0" distL="0" distR="0" wp14:anchorId="40F1D5E4" wp14:editId="41D8463B">
            <wp:extent cx="2058052" cy="1343025"/>
            <wp:effectExtent l="0" t="0" r="0" b="0"/>
            <wp:docPr id="317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 name="Picture 9"/>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3147" cy="1392030"/>
                    </a:xfrm>
                    <a:prstGeom prst="rect">
                      <a:avLst/>
                    </a:prstGeom>
                    <a:noFill/>
                    <a:ln>
                      <a:noFill/>
                    </a:ln>
                    <a:extLst/>
                  </pic:spPr>
                </pic:pic>
              </a:graphicData>
            </a:graphic>
          </wp:inline>
        </w:drawing>
      </w:r>
    </w:p>
    <w:p w14:paraId="1FF430CC" w14:textId="6CA62670" w:rsidR="007E5638" w:rsidRPr="007E5638" w:rsidRDefault="007E5638" w:rsidP="007E5638">
      <w:pPr>
        <w:pStyle w:val="NormalWeb"/>
        <w:spacing w:before="0" w:beforeAutospacing="0" w:after="0" w:afterAutospacing="0"/>
        <w:rPr>
          <w:sz w:val="20"/>
          <w:szCs w:val="20"/>
        </w:rPr>
      </w:pPr>
      <w:r w:rsidRPr="007E5638">
        <w:rPr>
          <w:rFonts w:eastAsia="MS PGothic"/>
          <w:bCs/>
          <w:color w:val="000000"/>
          <w:kern w:val="24"/>
          <w:sz w:val="20"/>
          <w:szCs w:val="20"/>
        </w:rPr>
        <w:t>Red line encircles the area with the plaques reactive only with S100A9 antibodies. Blue lines encircles the area with plaques stained also with A</w:t>
      </w:r>
      <w:r w:rsidRPr="007E5638">
        <w:rPr>
          <w:rFonts w:eastAsia="MS PGothic"/>
          <w:bCs/>
          <w:color w:val="000000"/>
          <w:kern w:val="24"/>
          <w:sz w:val="20"/>
          <w:szCs w:val="20"/>
          <w:lang w:val="el-GR"/>
        </w:rPr>
        <w:t>β</w:t>
      </w:r>
      <w:r w:rsidRPr="007E5638">
        <w:rPr>
          <w:rFonts w:eastAsia="MS PGothic"/>
          <w:bCs/>
          <w:color w:val="000000"/>
          <w:kern w:val="24"/>
          <w:sz w:val="20"/>
          <w:szCs w:val="20"/>
        </w:rPr>
        <w:t xml:space="preserve"> antibodies.</w:t>
      </w:r>
    </w:p>
    <w:p w14:paraId="628E9EFE" w14:textId="1DF19205" w:rsidR="005C2E3C" w:rsidRDefault="005C2E3C" w:rsidP="005C2E3C">
      <w:pPr>
        <w:spacing w:line="204" w:lineRule="exact"/>
        <w:rPr>
          <w:rFonts w:ascii="Times New Roman" w:hAnsi="Times New Roman" w:cs="Times New Roman"/>
          <w:b/>
          <w:color w:val="BF5A14"/>
          <w:sz w:val="20"/>
          <w:szCs w:val="20"/>
        </w:rPr>
      </w:pPr>
      <w:r w:rsidRPr="006B5568">
        <w:rPr>
          <w:rFonts w:ascii="Times New Roman" w:hAnsi="Times New Roman" w:cs="Times New Roman"/>
          <w:b/>
          <w:color w:val="BF5A14"/>
          <w:sz w:val="20"/>
          <w:szCs w:val="20"/>
        </w:rPr>
        <w:t>Recent Publications</w:t>
      </w:r>
      <w:r w:rsidR="007E5638">
        <w:rPr>
          <w:rFonts w:ascii="Times New Roman" w:hAnsi="Times New Roman" w:cs="Times New Roman"/>
          <w:b/>
          <w:color w:val="BF5A14"/>
          <w:sz w:val="20"/>
          <w:szCs w:val="20"/>
        </w:rPr>
        <w:t>:</w:t>
      </w:r>
      <w:r w:rsidRPr="006B5568">
        <w:rPr>
          <w:rFonts w:ascii="Times New Roman" w:hAnsi="Times New Roman" w:cs="Times New Roman"/>
          <w:b/>
          <w:color w:val="BF5A14"/>
          <w:sz w:val="20"/>
          <w:szCs w:val="20"/>
        </w:rPr>
        <w:t xml:space="preserve"> </w:t>
      </w:r>
    </w:p>
    <w:p w14:paraId="0836B5AB" w14:textId="77777777" w:rsidR="007E5638" w:rsidRPr="007E5638" w:rsidRDefault="007E5638" w:rsidP="007E5638">
      <w:pPr>
        <w:widowControl/>
        <w:jc w:val="both"/>
        <w:rPr>
          <w:rFonts w:ascii="Times New Roman" w:eastAsia="Calibri" w:hAnsi="Times New Roman" w:cs="Times New Roman"/>
          <w:lang w:val="en-GB"/>
        </w:rPr>
      </w:pPr>
      <w:r w:rsidRPr="007E5638">
        <w:rPr>
          <w:rFonts w:ascii="Times New Roman" w:eastAsia="Calibri" w:hAnsi="Times New Roman" w:cs="Times New Roman"/>
          <w:lang w:val="en-GB" w:eastAsia="uk-UA"/>
        </w:rPr>
        <w:t xml:space="preserve">[1] </w:t>
      </w:r>
      <w:r w:rsidRPr="007E5638">
        <w:rPr>
          <w:rFonts w:ascii="Times New Roman" w:eastAsia="Calibri" w:hAnsi="Times New Roman" w:cs="Times New Roman"/>
          <w:lang w:val="en-GB"/>
        </w:rPr>
        <w:t xml:space="preserve">Wang, C., et al. </w:t>
      </w:r>
      <w:proofErr w:type="spellStart"/>
      <w:r w:rsidRPr="007E5638">
        <w:rPr>
          <w:rFonts w:ascii="Times New Roman" w:eastAsia="Calibri" w:hAnsi="Times New Roman" w:cs="Times New Roman"/>
          <w:i/>
          <w:lang w:val="en-GB"/>
        </w:rPr>
        <w:t>Acta</w:t>
      </w:r>
      <w:proofErr w:type="spellEnd"/>
      <w:r w:rsidRPr="007E5638">
        <w:rPr>
          <w:rFonts w:ascii="Times New Roman" w:eastAsia="Calibri" w:hAnsi="Times New Roman" w:cs="Times New Roman"/>
          <w:i/>
          <w:lang w:val="en-GB"/>
        </w:rPr>
        <w:t xml:space="preserve"> Neuropath</w:t>
      </w:r>
      <w:r w:rsidRPr="007E5638">
        <w:rPr>
          <w:rFonts w:ascii="Times New Roman" w:eastAsia="Calibri" w:hAnsi="Times New Roman" w:cs="Times New Roman"/>
          <w:lang w:val="en-GB"/>
        </w:rPr>
        <w:t>. 127, 507, 2014.</w:t>
      </w:r>
    </w:p>
    <w:p w14:paraId="35E418B8" w14:textId="77777777" w:rsidR="007E5638" w:rsidRPr="007E5638" w:rsidRDefault="007E5638" w:rsidP="007E5638">
      <w:pPr>
        <w:widowControl/>
        <w:jc w:val="both"/>
        <w:rPr>
          <w:rFonts w:ascii="Times New Roman" w:eastAsia="Times New Roman" w:hAnsi="Times New Roman" w:cs="Times New Roman"/>
          <w:lang w:val="sv-SE" w:eastAsia="sv-SE"/>
        </w:rPr>
      </w:pPr>
      <w:r w:rsidRPr="007E5638">
        <w:rPr>
          <w:rFonts w:ascii="Times New Roman" w:eastAsia="Calibri" w:hAnsi="Times New Roman" w:cs="Times New Roman"/>
          <w:lang w:val="en-GB"/>
        </w:rPr>
        <w:t xml:space="preserve">[2] </w:t>
      </w:r>
      <w:r w:rsidRPr="007E5638">
        <w:rPr>
          <w:rFonts w:ascii="Times New Roman" w:eastAsia="Times New Roman" w:hAnsi="Times New Roman" w:cs="Times New Roman"/>
          <w:lang w:eastAsia="sv-SE"/>
        </w:rPr>
        <w:t xml:space="preserve">Horvath, I., et al </w:t>
      </w:r>
      <w:r w:rsidRPr="007E5638">
        <w:rPr>
          <w:rFonts w:ascii="Times New Roman" w:eastAsia="Times New Roman" w:hAnsi="Times New Roman" w:cs="Times New Roman"/>
          <w:i/>
          <w:lang w:val="sv-SE" w:eastAsia="sv-SE"/>
        </w:rPr>
        <w:t xml:space="preserve">J. Neuroimmun. </w:t>
      </w:r>
      <w:r w:rsidRPr="007E5638">
        <w:rPr>
          <w:rFonts w:ascii="Times New Roman" w:eastAsia="Times New Roman" w:hAnsi="Times New Roman" w:cs="Times New Roman"/>
          <w:lang w:val="sv-SE" w:eastAsia="sv-SE"/>
        </w:rPr>
        <w:t>2018.</w:t>
      </w:r>
    </w:p>
    <w:p w14:paraId="0A951C25" w14:textId="77777777" w:rsidR="007E5638" w:rsidRPr="007E5638" w:rsidRDefault="007E5638" w:rsidP="007E5638">
      <w:pPr>
        <w:widowControl/>
        <w:jc w:val="both"/>
        <w:rPr>
          <w:rFonts w:ascii="Times New Roman" w:eastAsia="Calibri" w:hAnsi="Times New Roman" w:cs="Times New Roman"/>
          <w:lang w:val="en-GB"/>
        </w:rPr>
      </w:pPr>
      <w:r w:rsidRPr="007E5638">
        <w:rPr>
          <w:rFonts w:ascii="Times New Roman" w:eastAsia="Times New Roman" w:hAnsi="Times New Roman" w:cs="Times New Roman"/>
          <w:lang w:val="en-GB" w:eastAsia="sv-SE"/>
        </w:rPr>
        <w:t xml:space="preserve">[3] </w:t>
      </w:r>
      <w:r w:rsidRPr="007E5638">
        <w:rPr>
          <w:rFonts w:ascii="Times New Roman" w:eastAsia="Calibri" w:hAnsi="Times New Roman" w:cs="Times New Roman"/>
          <w:lang w:val="en-GB"/>
        </w:rPr>
        <w:t xml:space="preserve">Iashchishyn, I.A., et al </w:t>
      </w:r>
      <w:r w:rsidRPr="007E5638">
        <w:rPr>
          <w:rFonts w:ascii="Times New Roman" w:eastAsia="Calibri" w:hAnsi="Times New Roman" w:cs="Times New Roman"/>
          <w:i/>
          <w:lang w:val="en-GB"/>
        </w:rPr>
        <w:t xml:space="preserve">ACS </w:t>
      </w:r>
      <w:proofErr w:type="spellStart"/>
      <w:r w:rsidRPr="007E5638">
        <w:rPr>
          <w:rFonts w:ascii="Times New Roman" w:eastAsia="Calibri" w:hAnsi="Times New Roman" w:cs="Times New Roman"/>
          <w:i/>
          <w:lang w:val="en-GB"/>
        </w:rPr>
        <w:t>Chem</w:t>
      </w:r>
      <w:proofErr w:type="spellEnd"/>
      <w:r w:rsidRPr="007E5638">
        <w:rPr>
          <w:rFonts w:ascii="Times New Roman" w:eastAsia="Calibri" w:hAnsi="Times New Roman" w:cs="Times New Roman"/>
          <w:i/>
          <w:lang w:val="en-GB"/>
        </w:rPr>
        <w:t xml:space="preserve"> </w:t>
      </w:r>
      <w:proofErr w:type="spellStart"/>
      <w:r w:rsidRPr="007E5638">
        <w:rPr>
          <w:rFonts w:ascii="Times New Roman" w:eastAsia="Calibri" w:hAnsi="Times New Roman" w:cs="Times New Roman"/>
          <w:i/>
          <w:lang w:val="en-GB"/>
        </w:rPr>
        <w:t>Neurosci</w:t>
      </w:r>
      <w:proofErr w:type="spellEnd"/>
      <w:r w:rsidRPr="007E5638">
        <w:rPr>
          <w:rFonts w:ascii="Times New Roman" w:eastAsia="Calibri" w:hAnsi="Times New Roman" w:cs="Times New Roman"/>
          <w:i/>
          <w:lang w:val="en-GB"/>
        </w:rPr>
        <w:t xml:space="preserve">. </w:t>
      </w:r>
      <w:r w:rsidRPr="007E5638">
        <w:rPr>
          <w:rFonts w:ascii="Times New Roman" w:eastAsia="Calibri" w:hAnsi="Times New Roman" w:cs="Times New Roman"/>
          <w:lang w:val="en-GB"/>
        </w:rPr>
        <w:t>2018.</w:t>
      </w:r>
    </w:p>
    <w:p w14:paraId="15656DFE" w14:textId="77777777" w:rsidR="007E5638" w:rsidRPr="007E5638" w:rsidRDefault="007E5638" w:rsidP="007E5638">
      <w:pPr>
        <w:widowControl/>
        <w:shd w:val="clear" w:color="auto" w:fill="FFFFFF"/>
        <w:jc w:val="both"/>
        <w:rPr>
          <w:rFonts w:ascii="Times New Roman" w:eastAsia="Times New Roman" w:hAnsi="Times New Roman" w:cs="Times New Roman"/>
          <w:color w:val="000000"/>
        </w:rPr>
      </w:pPr>
      <w:r w:rsidRPr="007E5638">
        <w:rPr>
          <w:rFonts w:ascii="Times New Roman" w:eastAsia="Times New Roman" w:hAnsi="Times New Roman" w:cs="Times New Roman"/>
          <w:color w:val="000000"/>
          <w:lang w:val="en-GB"/>
        </w:rPr>
        <w:t xml:space="preserve">[4] </w:t>
      </w:r>
      <w:r w:rsidRPr="007E5638">
        <w:rPr>
          <w:rFonts w:ascii="Times New Roman" w:eastAsia="Times New Roman" w:hAnsi="Times New Roman" w:cs="Times New Roman"/>
          <w:color w:val="000000"/>
        </w:rPr>
        <w:t xml:space="preserve">Iashchishyn. I.A., et </w:t>
      </w:r>
      <w:proofErr w:type="gramStart"/>
      <w:r w:rsidRPr="007E5638">
        <w:rPr>
          <w:rFonts w:ascii="Times New Roman" w:eastAsia="Times New Roman" w:hAnsi="Times New Roman" w:cs="Times New Roman"/>
          <w:color w:val="000000"/>
        </w:rPr>
        <w:t>al</w:t>
      </w:r>
      <w:r w:rsidRPr="007E5638">
        <w:rPr>
          <w:rFonts w:ascii="Times New Roman" w:eastAsia="Times New Roman" w:hAnsi="Times New Roman" w:cs="Times New Roman"/>
          <w:b/>
          <w:color w:val="000000"/>
        </w:rPr>
        <w:t xml:space="preserve">  </w:t>
      </w:r>
      <w:r w:rsidRPr="007E5638">
        <w:rPr>
          <w:rFonts w:ascii="Times New Roman" w:eastAsia="Times New Roman" w:hAnsi="Times New Roman" w:cs="Times New Roman"/>
          <w:i/>
          <w:color w:val="000000"/>
        </w:rPr>
        <w:t>ACS</w:t>
      </w:r>
      <w:proofErr w:type="gramEnd"/>
      <w:r w:rsidRPr="007E5638">
        <w:rPr>
          <w:rFonts w:ascii="Times New Roman" w:eastAsia="Times New Roman" w:hAnsi="Times New Roman" w:cs="Times New Roman"/>
          <w:i/>
          <w:color w:val="000000"/>
        </w:rPr>
        <w:t xml:space="preserve"> </w:t>
      </w:r>
      <w:proofErr w:type="spellStart"/>
      <w:r w:rsidRPr="007E5638">
        <w:rPr>
          <w:rFonts w:ascii="Times New Roman" w:eastAsia="Times New Roman" w:hAnsi="Times New Roman" w:cs="Times New Roman"/>
          <w:i/>
          <w:color w:val="000000"/>
        </w:rPr>
        <w:t>Chem</w:t>
      </w:r>
      <w:proofErr w:type="spellEnd"/>
      <w:r w:rsidRPr="007E5638">
        <w:rPr>
          <w:rFonts w:ascii="Times New Roman" w:eastAsia="Times New Roman" w:hAnsi="Times New Roman" w:cs="Times New Roman"/>
          <w:i/>
          <w:color w:val="000000"/>
        </w:rPr>
        <w:t xml:space="preserve"> </w:t>
      </w:r>
      <w:proofErr w:type="spellStart"/>
      <w:r w:rsidRPr="007E5638">
        <w:rPr>
          <w:rFonts w:ascii="Times New Roman" w:eastAsia="Times New Roman" w:hAnsi="Times New Roman" w:cs="Times New Roman"/>
          <w:i/>
          <w:color w:val="000000"/>
        </w:rPr>
        <w:t>Neurosci</w:t>
      </w:r>
      <w:proofErr w:type="spellEnd"/>
      <w:r w:rsidRPr="007E5638">
        <w:rPr>
          <w:rFonts w:ascii="Times New Roman" w:eastAsia="Times New Roman" w:hAnsi="Times New Roman" w:cs="Times New Roman"/>
          <w:i/>
          <w:color w:val="000000"/>
        </w:rPr>
        <w:t>.</w:t>
      </w:r>
      <w:r w:rsidRPr="007E5638">
        <w:rPr>
          <w:rFonts w:ascii="Times New Roman" w:eastAsia="Times New Roman" w:hAnsi="Times New Roman" w:cs="Times New Roman"/>
          <w:color w:val="000000"/>
        </w:rPr>
        <w:t xml:space="preserve"> 8, 2152, 2017.</w:t>
      </w:r>
    </w:p>
    <w:p w14:paraId="6F3965BD" w14:textId="77777777" w:rsidR="007E5638" w:rsidRPr="007E5638" w:rsidRDefault="007E5638" w:rsidP="007E5638">
      <w:pPr>
        <w:widowControl/>
        <w:jc w:val="both"/>
        <w:rPr>
          <w:rFonts w:ascii="Times New Roman" w:eastAsia="Calibri" w:hAnsi="Times New Roman" w:cs="Times New Roman"/>
          <w:lang w:val="sv-SE"/>
        </w:rPr>
      </w:pPr>
      <w:r w:rsidRPr="007E5638">
        <w:rPr>
          <w:rFonts w:ascii="Times New Roman" w:eastAsia="Times New Roman" w:hAnsi="Times New Roman" w:cs="Times New Roman"/>
          <w:lang w:val="en-GB" w:eastAsia="sv-SE"/>
        </w:rPr>
        <w:t>[5]</w:t>
      </w:r>
      <w:r w:rsidRPr="007E5638">
        <w:rPr>
          <w:rFonts w:ascii="Times New Roman" w:eastAsia="Times New Roman" w:hAnsi="Times New Roman" w:cs="Times New Roman"/>
          <w:lang w:eastAsia="sv-SE"/>
        </w:rPr>
        <w:t xml:space="preserve"> </w:t>
      </w:r>
      <w:r w:rsidRPr="007E5638">
        <w:rPr>
          <w:rFonts w:ascii="Times New Roman" w:eastAsia="Calibri" w:hAnsi="Times New Roman" w:cs="Times New Roman"/>
        </w:rPr>
        <w:t xml:space="preserve">Horvath, I., et al. </w:t>
      </w:r>
      <w:r w:rsidRPr="007E5638">
        <w:rPr>
          <w:rFonts w:ascii="Times New Roman" w:eastAsia="Calibri" w:hAnsi="Times New Roman" w:cs="Times New Roman"/>
          <w:i/>
          <w:lang w:val="sv-SE"/>
        </w:rPr>
        <w:t>ACS Chem. Neurosci.</w:t>
      </w:r>
      <w:r w:rsidRPr="007E5638">
        <w:rPr>
          <w:rFonts w:ascii="Times New Roman" w:eastAsia="Calibri" w:hAnsi="Times New Roman" w:cs="Times New Roman"/>
          <w:lang w:val="sv-SE"/>
        </w:rPr>
        <w:t>7, 34,</w:t>
      </w:r>
      <w:r w:rsidRPr="007E5638">
        <w:rPr>
          <w:rFonts w:ascii="Times New Roman" w:eastAsia="Calibri" w:hAnsi="Times New Roman" w:cs="Times New Roman"/>
          <w:b/>
          <w:lang w:val="sv-SE"/>
        </w:rPr>
        <w:t xml:space="preserve"> </w:t>
      </w:r>
      <w:r w:rsidRPr="007E5638">
        <w:rPr>
          <w:rFonts w:ascii="Times New Roman" w:eastAsia="Calibri" w:hAnsi="Times New Roman" w:cs="Times New Roman"/>
          <w:lang w:val="sv-SE"/>
        </w:rPr>
        <w:t>2016.</w:t>
      </w:r>
    </w:p>
    <w:p w14:paraId="4025E108" w14:textId="77777777" w:rsidR="007E5638" w:rsidRPr="006B5568" w:rsidRDefault="007E5638" w:rsidP="005C2E3C">
      <w:pPr>
        <w:spacing w:line="204" w:lineRule="exact"/>
        <w:rPr>
          <w:rFonts w:ascii="Times New Roman" w:hAnsi="Times New Roman" w:cs="Times New Roman"/>
          <w:b/>
          <w:sz w:val="20"/>
          <w:szCs w:val="20"/>
        </w:rPr>
      </w:pP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8"/>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4E0379"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0CEAAF0C" w14:textId="542DAFA9" w:rsidR="005C2E3C" w:rsidRDefault="005C2E3C" w:rsidP="007E5638">
      <w:pPr>
        <w:spacing w:before="92"/>
        <w:ind w:right="4234"/>
        <w:rPr>
          <w:rFonts w:ascii="Times New Roman" w:hAnsi="Times New Roman" w:cs="Times New Roman"/>
          <w:b/>
          <w:color w:val="BF5A14"/>
          <w:sz w:val="20"/>
          <w:szCs w:val="20"/>
        </w:rPr>
      </w:pPr>
      <w:r w:rsidRPr="006B5568">
        <w:rPr>
          <w:rFonts w:ascii="Times New Roman" w:hAnsi="Times New Roman" w:cs="Times New Roman"/>
          <w:noProof/>
          <w:sz w:val="20"/>
          <w:szCs w:val="20"/>
        </w:rPr>
        <w:t xml:space="preserve">         </w:t>
      </w:r>
      <w:r w:rsidR="007E5638" w:rsidRPr="007E5638">
        <w:rPr>
          <w:rFonts w:ascii="Times New Roman" w:hAnsi="Times New Roman" w:cs="Times New Roman"/>
          <w:noProof/>
          <w:sz w:val="20"/>
          <w:szCs w:val="20"/>
        </w:rPr>
        <w:drawing>
          <wp:inline distT="0" distB="0" distL="0" distR="0" wp14:anchorId="19626FE8" wp14:editId="12301CA2">
            <wp:extent cx="1019175" cy="1164647"/>
            <wp:effectExtent l="0" t="0" r="0" b="0"/>
            <wp:docPr id="5" name="Picture 5" descr="C:\Users\lumo0001\AppData\Local\Microsoft\Windows\INetCache\Content.Outlook\YPS54QD1\IMG_20181213_133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mo0001\AppData\Local\Microsoft\Windows\INetCache\Content.Outlook\YPS54QD1\IMG_20181213_1335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3391" cy="1169464"/>
                    </a:xfrm>
                    <a:prstGeom prst="rect">
                      <a:avLst/>
                    </a:prstGeom>
                    <a:noFill/>
                    <a:ln>
                      <a:noFill/>
                    </a:ln>
                  </pic:spPr>
                </pic:pic>
              </a:graphicData>
            </a:graphic>
          </wp:inline>
        </w:drawing>
      </w:r>
      <w:r w:rsidRPr="006B5568">
        <w:rPr>
          <w:rFonts w:ascii="Times New Roman" w:hAnsi="Times New Roman" w:cs="Times New Roman"/>
          <w:noProof/>
          <w:sz w:val="20"/>
          <w:szCs w:val="20"/>
        </w:rPr>
        <w:t xml:space="preserve"> </w:t>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p>
    <w:p w14:paraId="77B8BD9C" w14:textId="7522969D" w:rsidR="007E5638" w:rsidRPr="007E5638" w:rsidRDefault="007E5638" w:rsidP="007E5638">
      <w:pPr>
        <w:spacing w:before="92"/>
        <w:ind w:right="4234"/>
        <w:rPr>
          <w:rFonts w:ascii="Times New Roman" w:hAnsi="Times New Roman" w:cs="Times New Roman"/>
          <w:sz w:val="20"/>
          <w:szCs w:val="20"/>
        </w:rPr>
      </w:pPr>
      <w:r w:rsidRPr="007E5638">
        <w:rPr>
          <w:rFonts w:ascii="Times New Roman" w:hAnsi="Times New Roman" w:cs="Times New Roman"/>
          <w:sz w:val="20"/>
          <w:szCs w:val="20"/>
        </w:rPr>
        <w:t>Ludmilla Morozova-Roche</w:t>
      </w:r>
      <w:r>
        <w:rPr>
          <w:rFonts w:ascii="Times New Roman" w:hAnsi="Times New Roman" w:cs="Times New Roman"/>
          <w:sz w:val="20"/>
          <w:szCs w:val="20"/>
        </w:rPr>
        <w:t xml:space="preserve"> is a Professor in Medical Biophysics at the Umeå University, Sweden. She and her research group  has been conducting research on S100 proteins in neurodegenerative and inflammatory diseases during last ten years and showed that S100A9 in particular plays critical role in driving the amyloid-neuroinflammatory cascade in Alzheimer’s, Parkinson’s and traumatic brain injury and therefore can be used as a prospective therapeutic and diagnostic target. </w:t>
      </w:r>
    </w:p>
    <w:p w14:paraId="4CADAB3F" w14:textId="644D9028" w:rsidR="007E5638" w:rsidRPr="006B5568" w:rsidRDefault="005C2E3C" w:rsidP="007E5638">
      <w:pPr>
        <w:spacing w:before="62"/>
        <w:ind w:right="3356"/>
        <w:rPr>
          <w:rFonts w:ascii="Times New Roman" w:hAnsi="Times New Roman" w:cs="Times New Roman"/>
          <w:sz w:val="20"/>
          <w:szCs w:val="20"/>
        </w:rPr>
      </w:pPr>
      <w:r w:rsidRPr="006B5568">
        <w:rPr>
          <w:rFonts w:ascii="Times New Roman" w:hAnsi="Times New Roman" w:cs="Times New Roman"/>
          <w:sz w:val="20"/>
          <w:szCs w:val="20"/>
        </w:rPr>
        <w:t>E</w:t>
      </w:r>
      <w:r w:rsidR="007E5638">
        <w:rPr>
          <w:rFonts w:ascii="Times New Roman" w:hAnsi="Times New Roman" w:cs="Times New Roman"/>
          <w:sz w:val="20"/>
          <w:szCs w:val="20"/>
        </w:rPr>
        <w:t>mail: Ludmilla.morozova-roche@medchem.umu.se</w:t>
      </w:r>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3FBFC"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DE775" w14:textId="77777777" w:rsidR="003C0A11" w:rsidRDefault="003C0A11" w:rsidP="00DB7489">
      <w:r>
        <w:separator/>
      </w:r>
    </w:p>
  </w:endnote>
  <w:endnote w:type="continuationSeparator" w:id="0">
    <w:p w14:paraId="65F2FEB8" w14:textId="77777777" w:rsidR="003C0A11" w:rsidRDefault="003C0A11"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3E257" w14:textId="77777777" w:rsidR="003C0A11" w:rsidRDefault="003C0A11" w:rsidP="00DB7489">
      <w:r>
        <w:separator/>
      </w:r>
    </w:p>
  </w:footnote>
  <w:footnote w:type="continuationSeparator" w:id="0">
    <w:p w14:paraId="7E4CB638" w14:textId="77777777" w:rsidR="003C0A11" w:rsidRDefault="003C0A11"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A67D7" w14:textId="419EB877" w:rsidR="00DB7489" w:rsidRDefault="00393025">
    <w:pPr>
      <w:pStyle w:val="Header"/>
    </w:pPr>
    <w:r>
      <w:rPr>
        <w:noProof/>
      </w:rPr>
      <w:drawing>
        <wp:inline distT="0" distB="0" distL="0" distR="0" wp14:anchorId="64255161" wp14:editId="3D3B8A59">
          <wp:extent cx="6400800" cy="829995"/>
          <wp:effectExtent l="0" t="0" r="0" b="8255"/>
          <wp:docPr id="1" name="Picture 1" descr="C:\Neurochemistry 2019\Home slide banners\Neurochemistr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urochemistry 2019\Home slide banners\Neurochemistr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8299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15F83"/>
    <w:rsid w:val="000C3E81"/>
    <w:rsid w:val="001162AA"/>
    <w:rsid w:val="00146DAC"/>
    <w:rsid w:val="00206FCE"/>
    <w:rsid w:val="00254333"/>
    <w:rsid w:val="002929A4"/>
    <w:rsid w:val="002C52DD"/>
    <w:rsid w:val="00303F0F"/>
    <w:rsid w:val="00393025"/>
    <w:rsid w:val="003B756B"/>
    <w:rsid w:val="003C0478"/>
    <w:rsid w:val="003C0A11"/>
    <w:rsid w:val="00406DAF"/>
    <w:rsid w:val="00434598"/>
    <w:rsid w:val="00477FAA"/>
    <w:rsid w:val="004C52EC"/>
    <w:rsid w:val="00531D6D"/>
    <w:rsid w:val="00580B51"/>
    <w:rsid w:val="00596D06"/>
    <w:rsid w:val="005C2E3C"/>
    <w:rsid w:val="00645733"/>
    <w:rsid w:val="00683A78"/>
    <w:rsid w:val="006B5568"/>
    <w:rsid w:val="007B1824"/>
    <w:rsid w:val="007E5638"/>
    <w:rsid w:val="00827911"/>
    <w:rsid w:val="00851507"/>
    <w:rsid w:val="008C73BB"/>
    <w:rsid w:val="008E14B1"/>
    <w:rsid w:val="008E1BA9"/>
    <w:rsid w:val="008F0386"/>
    <w:rsid w:val="008F14BB"/>
    <w:rsid w:val="00904D98"/>
    <w:rsid w:val="00912B27"/>
    <w:rsid w:val="009A1CBE"/>
    <w:rsid w:val="009D5FAC"/>
    <w:rsid w:val="009F4CD0"/>
    <w:rsid w:val="00AF26CD"/>
    <w:rsid w:val="00B11782"/>
    <w:rsid w:val="00B80A6D"/>
    <w:rsid w:val="00C73A03"/>
    <w:rsid w:val="00CA779B"/>
    <w:rsid w:val="00DB7489"/>
    <w:rsid w:val="00DD4597"/>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docId w15:val="{BD4AC336-BF2B-4C71-B79D-2ADB2D8F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827911"/>
    <w:rPr>
      <w:rFonts w:ascii="Tahoma" w:hAnsi="Tahoma" w:cs="Tahoma"/>
      <w:sz w:val="16"/>
      <w:szCs w:val="16"/>
    </w:rPr>
  </w:style>
  <w:style w:type="character" w:customStyle="1" w:styleId="BalloonTextChar">
    <w:name w:val="Balloon Text Char"/>
    <w:basedOn w:val="DefaultParagraphFont"/>
    <w:link w:val="BalloonText"/>
    <w:uiPriority w:val="99"/>
    <w:semiHidden/>
    <w:rsid w:val="00827911"/>
    <w:rPr>
      <w:rFonts w:ascii="Tahoma" w:eastAsia="Tw Cen MT" w:hAnsi="Tahoma" w:cs="Tahoma"/>
      <w:sz w:val="16"/>
      <w:szCs w:val="16"/>
      <w:lang w:val="en-US"/>
    </w:rPr>
  </w:style>
  <w:style w:type="paragraph" w:styleId="NormalWeb">
    <w:name w:val="Normal (Web)"/>
    <w:basedOn w:val="Normal"/>
    <w:uiPriority w:val="99"/>
    <w:semiHidden/>
    <w:unhideWhenUsed/>
    <w:rsid w:val="007E5638"/>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747266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Neuroscience and Neurochemistry 2019</dc:creator>
  <cp:keywords/>
  <dc:description/>
  <cp:lastModifiedBy>Ludmilla Morozova-Roche</cp:lastModifiedBy>
  <cp:revision>2</cp:revision>
  <dcterms:created xsi:type="dcterms:W3CDTF">2018-12-13T12:53:00Z</dcterms:created>
  <dcterms:modified xsi:type="dcterms:W3CDTF">2018-12-13T12:53:00Z</dcterms:modified>
</cp:coreProperties>
</file>