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7E1" w:rsidRPr="00A047E1" w:rsidRDefault="00A047E1" w:rsidP="00A047E1">
      <w:pPr>
        <w:pStyle w:val="a3"/>
        <w:jc w:val="both"/>
        <w:rPr>
          <w:rFonts w:ascii="Arial"/>
        </w:rPr>
      </w:pPr>
      <w:proofErr w:type="gramStart"/>
      <w:r w:rsidRPr="00A047E1">
        <w:rPr>
          <w:rFonts w:ascii="Times New Roman" w:eastAsia="Minion Pro" w:hAnsi="Times New Roman" w:cs="Times New Roman"/>
          <w:b/>
          <w:bCs/>
          <w:color w:val="337AB7"/>
          <w:sz w:val="28"/>
          <w:szCs w:val="28"/>
        </w:rPr>
        <w:t>The mechanisms that used by the Neurons i</w:t>
      </w:r>
      <w:r w:rsidR="00537BC0">
        <w:rPr>
          <w:rFonts w:ascii="Times New Roman" w:eastAsia="Minion Pro" w:hAnsi="Times New Roman" w:cs="Times New Roman"/>
          <w:b/>
          <w:bCs/>
          <w:color w:val="337AB7"/>
          <w:sz w:val="28"/>
          <w:szCs w:val="28"/>
        </w:rPr>
        <w:t xml:space="preserve">n the brain to avoid attack of </w:t>
      </w:r>
      <w:bookmarkStart w:id="0" w:name="_GoBack"/>
      <w:bookmarkEnd w:id="0"/>
      <w:r w:rsidRPr="00A047E1">
        <w:rPr>
          <w:rFonts w:ascii="Times New Roman" w:eastAsia="Minion Pro" w:hAnsi="Times New Roman" w:cs="Times New Roman"/>
          <w:b/>
          <w:bCs/>
          <w:color w:val="337AB7"/>
          <w:sz w:val="28"/>
          <w:szCs w:val="28"/>
        </w:rPr>
        <w:t>immune cells</w:t>
      </w:r>
      <w:r w:rsidRPr="00A047E1">
        <w:rPr>
          <w:rFonts w:asciiTheme="majorBidi" w:hAnsiTheme="majorBidi" w:cstheme="majorBidi"/>
          <w:sz w:val="28"/>
          <w:szCs w:val="28"/>
        </w:rPr>
        <w:t>.</w:t>
      </w:r>
      <w:proofErr w:type="gramEnd"/>
      <w:r w:rsidRPr="00A047E1">
        <w:rPr>
          <w:rFonts w:ascii="Arial"/>
        </w:rPr>
        <w:t xml:space="preserve"> </w:t>
      </w:r>
    </w:p>
    <w:p w:rsidR="002B0297" w:rsidRDefault="002B0297" w:rsidP="002B0297">
      <w:pPr>
        <w:pStyle w:val="a3"/>
        <w:rPr>
          <w:rFonts w:ascii="Arial"/>
        </w:rPr>
      </w:pPr>
    </w:p>
    <w:p w:rsidR="002B0297" w:rsidRDefault="002B0297" w:rsidP="00A047E1">
      <w:pPr>
        <w:pStyle w:val="a3"/>
        <w:rPr>
          <w:rFonts w:ascii="Arial"/>
        </w:rPr>
      </w:pPr>
      <w:r w:rsidRPr="002B0297">
        <w:rPr>
          <w:rFonts w:ascii="Arial"/>
        </w:rPr>
        <w:t xml:space="preserve">Ahmed Ali Hussein, Master </w:t>
      </w:r>
      <w:r>
        <w:rPr>
          <w:rFonts w:ascii="Arial"/>
        </w:rPr>
        <w:t xml:space="preserve">of </w:t>
      </w:r>
      <w:r w:rsidRPr="002B0297">
        <w:rPr>
          <w:rFonts w:ascii="Arial"/>
        </w:rPr>
        <w:t xml:space="preserve">Microbiology, Iraq. </w:t>
      </w:r>
    </w:p>
    <w:p w:rsidR="00CE350B" w:rsidRDefault="002B0297" w:rsidP="00A047E1">
      <w:pPr>
        <w:pStyle w:val="a3"/>
        <w:rPr>
          <w:rFonts w:ascii="Arial"/>
          <w:sz w:val="20"/>
        </w:rPr>
      </w:pPr>
      <w:r w:rsidRPr="002B0297">
        <w:rPr>
          <w:rFonts w:ascii="Arial"/>
        </w:rPr>
        <w:t>Ahmed Ali Hussein, Master of Microbiology, Iraq.</w:t>
      </w:r>
    </w:p>
    <w:p w:rsidR="00AE3E37" w:rsidRDefault="00AE3E37">
      <w:pPr>
        <w:rPr>
          <w:rFonts w:ascii="Arial"/>
          <w:sz w:val="21"/>
        </w:rPr>
        <w:sectPr w:rsidR="00AE3E37" w:rsidSect="00190A67">
          <w:footerReference w:type="default" r:id="rId9"/>
          <w:type w:val="continuous"/>
          <w:pgSz w:w="11910" w:h="16840"/>
          <w:pgMar w:top="1740" w:right="600" w:bottom="840" w:left="620" w:header="57" w:footer="964" w:gutter="0"/>
          <w:cols w:space="720"/>
          <w:docGrid w:linePitch="299"/>
        </w:sectPr>
      </w:pPr>
    </w:p>
    <w:p w:rsidR="00AE3E37" w:rsidRDefault="00A9710C" w:rsidP="000E731D">
      <w:pPr>
        <w:pStyle w:val="3"/>
        <w:spacing w:before="147"/>
        <w:jc w:val="both"/>
        <w:rPr>
          <w:color w:val="BF5A14"/>
        </w:rPr>
      </w:pPr>
      <w:r>
        <w:rPr>
          <w:color w:val="BF5A14"/>
        </w:rPr>
        <w:lastRenderedPageBreak/>
        <w:t>Abstract</w:t>
      </w:r>
      <w:r w:rsidR="00404E5B">
        <w:rPr>
          <w:color w:val="BF5A14"/>
        </w:rPr>
        <w:t xml:space="preserve"> </w:t>
      </w:r>
    </w:p>
    <w:p w:rsidR="00AE3E37" w:rsidRDefault="006A04C6" w:rsidP="006A04C6">
      <w:pPr>
        <w:pStyle w:val="3"/>
        <w:spacing w:before="74" w:line="276" w:lineRule="auto"/>
        <w:jc w:val="both"/>
      </w:pPr>
      <w:r w:rsidRPr="006A04C6">
        <w:rPr>
          <w:rFonts w:ascii="Tw Cen MT" w:eastAsia="Calibri" w:hAnsi="Tw Cen MT" w:cs="Times New Roman"/>
          <w:b w:val="0"/>
          <w:bCs w:val="0"/>
          <w:sz w:val="18"/>
          <w:szCs w:val="18"/>
        </w:rPr>
        <w:t xml:space="preserve">There are several sites in the body that do not develop immune responses to pathogens, tumor cells, or </w:t>
      </w:r>
      <w:proofErr w:type="spellStart"/>
      <w:r w:rsidRPr="006A04C6">
        <w:rPr>
          <w:rFonts w:ascii="Tw Cen MT" w:eastAsia="Calibri" w:hAnsi="Tw Cen MT" w:cs="Times New Roman"/>
          <w:b w:val="0"/>
          <w:bCs w:val="0"/>
          <w:sz w:val="18"/>
          <w:szCs w:val="18"/>
        </w:rPr>
        <w:t>histoincompatible</w:t>
      </w:r>
      <w:proofErr w:type="spellEnd"/>
      <w:r w:rsidRPr="006A04C6">
        <w:rPr>
          <w:rFonts w:ascii="Tw Cen MT" w:eastAsia="Calibri" w:hAnsi="Tw Cen MT" w:cs="Times New Roman"/>
          <w:b w:val="0"/>
          <w:bCs w:val="0"/>
          <w:sz w:val="18"/>
          <w:szCs w:val="18"/>
        </w:rPr>
        <w:t xml:space="preserve"> tissue transplants, these sites, include the brain, eye, testis, ovary, and placenta, so-called because of mechanisms of immune tolerance that operate to protect the tissues from immune-mediated damage. The central nervous system complying the brain and spinal cord is an essential organ for survival, because the inflammation in these sites can lead to loss of organ function. The blood-brain barrier plays an important role in maintaining the separation of CNS from the systemic immune system but the presence of the blood-brain barrier, does not, on its own, provide immune privilege. Activated immune cells secret molecules that are neurotoxic and the encasement of the brain in the skull does not permit excessive infiltration of immune cells. Neurons are highly susceptible to damage by inflammatory responses and have limited ability to regenerate. Since the brain lacks a lymphatic system, and the </w:t>
      </w:r>
      <w:proofErr w:type="spellStart"/>
      <w:r w:rsidRPr="006A04C6">
        <w:rPr>
          <w:rFonts w:ascii="Tw Cen MT" w:eastAsia="Calibri" w:hAnsi="Tw Cen MT" w:cs="Times New Roman"/>
          <w:b w:val="0"/>
          <w:bCs w:val="0"/>
          <w:sz w:val="18"/>
          <w:szCs w:val="18"/>
        </w:rPr>
        <w:t>immunoregulatory</w:t>
      </w:r>
      <w:proofErr w:type="spellEnd"/>
      <w:r w:rsidRPr="006A04C6">
        <w:rPr>
          <w:rFonts w:ascii="Tw Cen MT" w:eastAsia="Calibri" w:hAnsi="Tw Cen MT" w:cs="Times New Roman"/>
          <w:b w:val="0"/>
          <w:bCs w:val="0"/>
          <w:sz w:val="18"/>
          <w:szCs w:val="18"/>
        </w:rPr>
        <w:t xml:space="preserve"> mechanisms in the brain circumvent damage to neurons and supporting cells such as </w:t>
      </w:r>
      <w:proofErr w:type="spellStart"/>
      <w:r w:rsidRPr="006A04C6">
        <w:rPr>
          <w:rFonts w:ascii="Tw Cen MT" w:eastAsia="Calibri" w:hAnsi="Tw Cen MT" w:cs="Times New Roman"/>
          <w:b w:val="0"/>
          <w:bCs w:val="0"/>
          <w:sz w:val="18"/>
          <w:szCs w:val="18"/>
        </w:rPr>
        <w:t>oligodendrocytes</w:t>
      </w:r>
      <w:proofErr w:type="spellEnd"/>
      <w:r w:rsidRPr="006A04C6">
        <w:rPr>
          <w:rFonts w:ascii="Tw Cen MT" w:eastAsia="Calibri" w:hAnsi="Tw Cen MT" w:cs="Times New Roman"/>
          <w:b w:val="0"/>
          <w:bCs w:val="0"/>
          <w:sz w:val="18"/>
          <w:szCs w:val="18"/>
        </w:rPr>
        <w:t xml:space="preserve"> and astrocytes. Mechanisms known to operate in the protection of neurons from attack by CD8 + cytotoxic T cells involve lack of expression of HLA class </w:t>
      </w:r>
      <w:proofErr w:type="spellStart"/>
      <w:proofErr w:type="gramStart"/>
      <w:r w:rsidRPr="006A04C6">
        <w:rPr>
          <w:rFonts w:ascii="Tw Cen MT" w:eastAsia="Calibri" w:hAnsi="Tw Cen MT" w:cs="Times New Roman"/>
          <w:b w:val="0"/>
          <w:bCs w:val="0"/>
          <w:sz w:val="18"/>
          <w:szCs w:val="18"/>
        </w:rPr>
        <w:t>Ia</w:t>
      </w:r>
      <w:proofErr w:type="spellEnd"/>
      <w:proofErr w:type="gramEnd"/>
      <w:r w:rsidRPr="006A04C6">
        <w:rPr>
          <w:rFonts w:ascii="Tw Cen MT" w:eastAsia="Calibri" w:hAnsi="Tw Cen MT" w:cs="Times New Roman"/>
          <w:b w:val="0"/>
          <w:bCs w:val="0"/>
          <w:sz w:val="18"/>
          <w:szCs w:val="18"/>
        </w:rPr>
        <w:t xml:space="preserve"> A, B and C receptors by neurons. Astrocytes express cell surface </w:t>
      </w:r>
      <w:proofErr w:type="spellStart"/>
      <w:r w:rsidRPr="006A04C6">
        <w:rPr>
          <w:rFonts w:ascii="Tw Cen MT" w:eastAsia="Calibri" w:hAnsi="Tw Cen MT" w:cs="Times New Roman"/>
          <w:b w:val="0"/>
          <w:bCs w:val="0"/>
          <w:sz w:val="18"/>
          <w:szCs w:val="18"/>
        </w:rPr>
        <w:t>FasL</w:t>
      </w:r>
      <w:proofErr w:type="spellEnd"/>
      <w:r w:rsidRPr="006A04C6">
        <w:rPr>
          <w:rFonts w:ascii="Tw Cen MT" w:eastAsia="Calibri" w:hAnsi="Tw Cen MT" w:cs="Times New Roman"/>
          <w:b w:val="0"/>
          <w:bCs w:val="0"/>
          <w:sz w:val="18"/>
          <w:szCs w:val="18"/>
        </w:rPr>
        <w:t xml:space="preserve"> which promotes apoptosis in activated T cells by engagement with Fas. </w:t>
      </w:r>
      <w:proofErr w:type="gramStart"/>
      <w:r w:rsidRPr="006A04C6">
        <w:rPr>
          <w:rFonts w:ascii="Tw Cen MT" w:eastAsia="Calibri" w:hAnsi="Tw Cen MT" w:cs="Times New Roman"/>
          <w:b w:val="0"/>
          <w:bCs w:val="0"/>
          <w:sz w:val="18"/>
          <w:szCs w:val="18"/>
        </w:rPr>
        <w:t>(Figure 1).</w:t>
      </w:r>
      <w:proofErr w:type="gramEnd"/>
      <w:r w:rsidRPr="006A04C6">
        <w:rPr>
          <w:rFonts w:ascii="Tw Cen MT" w:eastAsia="Calibri" w:hAnsi="Tw Cen MT" w:cs="Times New Roman"/>
          <w:b w:val="0"/>
          <w:bCs w:val="0"/>
          <w:sz w:val="18"/>
          <w:szCs w:val="18"/>
        </w:rPr>
        <w:t xml:space="preserve"> Another mechanisms known to operate in the protection of neurons from attack by natural killer cells is the induced expression of HLA class </w:t>
      </w:r>
      <w:proofErr w:type="spellStart"/>
      <w:r w:rsidRPr="006A04C6">
        <w:rPr>
          <w:rFonts w:ascii="Tw Cen MT" w:eastAsia="Calibri" w:hAnsi="Tw Cen MT" w:cs="Times New Roman"/>
          <w:b w:val="0"/>
          <w:bCs w:val="0"/>
          <w:sz w:val="18"/>
          <w:szCs w:val="18"/>
        </w:rPr>
        <w:t>Ib</w:t>
      </w:r>
      <w:proofErr w:type="spellEnd"/>
      <w:r w:rsidRPr="006A04C6">
        <w:rPr>
          <w:rFonts w:ascii="Tw Cen MT" w:eastAsia="Calibri" w:hAnsi="Tw Cen MT" w:cs="Times New Roman"/>
          <w:b w:val="0"/>
          <w:bCs w:val="0"/>
          <w:sz w:val="18"/>
          <w:szCs w:val="18"/>
        </w:rPr>
        <w:t xml:space="preserve"> G receptors that bind to NK inhibitory receptors such as KIR. Astrocytes </w:t>
      </w:r>
      <w:proofErr w:type="spellStart"/>
      <w:r w:rsidRPr="006A04C6">
        <w:rPr>
          <w:rFonts w:ascii="Tw Cen MT" w:eastAsia="Calibri" w:hAnsi="Tw Cen MT" w:cs="Times New Roman"/>
          <w:b w:val="0"/>
          <w:bCs w:val="0"/>
          <w:sz w:val="18"/>
          <w:szCs w:val="18"/>
        </w:rPr>
        <w:t>upregulate</w:t>
      </w:r>
      <w:proofErr w:type="spellEnd"/>
      <w:r w:rsidRPr="006A04C6">
        <w:rPr>
          <w:rFonts w:ascii="Tw Cen MT" w:eastAsia="Calibri" w:hAnsi="Tw Cen MT" w:cs="Times New Roman"/>
          <w:b w:val="0"/>
          <w:bCs w:val="0"/>
          <w:sz w:val="18"/>
          <w:szCs w:val="18"/>
        </w:rPr>
        <w:t xml:space="preserve"> surface PD-L1 receptors which promotes apoptosis in activated T cells by engagement of PD-1 receptors. In addition, microglial cells inhibit T cell proliferation by mediating depletion of tryptophan with IDO (</w:t>
      </w:r>
      <w:proofErr w:type="spellStart"/>
      <w:r w:rsidRPr="006A04C6">
        <w:rPr>
          <w:rFonts w:ascii="Tw Cen MT" w:eastAsia="Calibri" w:hAnsi="Tw Cen MT" w:cs="Times New Roman"/>
          <w:b w:val="0"/>
          <w:bCs w:val="0"/>
          <w:sz w:val="18"/>
          <w:szCs w:val="18"/>
        </w:rPr>
        <w:t>indolamine</w:t>
      </w:r>
      <w:proofErr w:type="spellEnd"/>
      <w:r w:rsidRPr="006A04C6">
        <w:rPr>
          <w:rFonts w:ascii="Tw Cen MT" w:eastAsia="Calibri" w:hAnsi="Tw Cen MT" w:cs="Times New Roman"/>
          <w:b w:val="0"/>
          <w:bCs w:val="0"/>
          <w:sz w:val="18"/>
          <w:szCs w:val="18"/>
        </w:rPr>
        <w:t xml:space="preserve"> 2</w:t>
      </w:r>
      <w:proofErr w:type="gramStart"/>
      <w:r w:rsidRPr="006A04C6">
        <w:rPr>
          <w:rFonts w:ascii="Tw Cen MT" w:eastAsia="Calibri" w:hAnsi="Tw Cen MT" w:cs="Times New Roman"/>
          <w:b w:val="0"/>
          <w:bCs w:val="0"/>
          <w:sz w:val="18"/>
          <w:szCs w:val="18"/>
        </w:rPr>
        <w:t>,3</w:t>
      </w:r>
      <w:proofErr w:type="gramEnd"/>
      <w:r w:rsidRPr="006A04C6">
        <w:rPr>
          <w:rFonts w:ascii="Tw Cen MT" w:eastAsia="Calibri" w:hAnsi="Tw Cen MT" w:cs="Times New Roman"/>
          <w:b w:val="0"/>
          <w:bCs w:val="0"/>
          <w:sz w:val="18"/>
          <w:szCs w:val="18"/>
        </w:rPr>
        <w:t>-dioxygenase).</w:t>
      </w:r>
      <w:r w:rsidR="00A9710C">
        <w:rPr>
          <w:b w:val="0"/>
        </w:rPr>
        <w:br w:type="column"/>
      </w:r>
      <w:r w:rsidR="00CD6DE6">
        <w:rPr>
          <w:noProof/>
        </w:rPr>
        <w:lastRenderedPageBreak/>
        <w:drawing>
          <wp:inline distT="0" distB="0" distL="0" distR="0" wp14:anchorId="6F0ECEB7" wp14:editId="261D26D0">
            <wp:extent cx="3101645" cy="1929665"/>
            <wp:effectExtent l="76200" t="76200" r="137160" b="128270"/>
            <wp:docPr id="2" name="صورة 2" descr="C:\Users\ahmed\Desktop\Immune-privileged-sites-brain-immune-evasion-constitut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hmed\Desktop\Immune-privileged-sites-brain-immune-evasion-constitutiv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0539" cy="192897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B0297" w:rsidRDefault="000E731D" w:rsidP="00CD6DE6">
      <w:pPr>
        <w:spacing w:line="204" w:lineRule="exact"/>
        <w:ind w:left="284"/>
        <w:jc w:val="both"/>
        <w:rPr>
          <w:rFonts w:ascii="Arial"/>
          <w:b/>
          <w:color w:val="BF5A14"/>
          <w:sz w:val="20"/>
        </w:rPr>
      </w:pPr>
      <w:proofErr w:type="gramStart"/>
      <w:r w:rsidRPr="00CD6DE6">
        <w:rPr>
          <w:rFonts w:ascii="Arial"/>
          <w:b/>
          <w:sz w:val="18"/>
          <w:szCs w:val="20"/>
        </w:rPr>
        <w:t>figure</w:t>
      </w:r>
      <w:proofErr w:type="gramEnd"/>
      <w:r w:rsidRPr="00CD6DE6">
        <w:rPr>
          <w:rFonts w:ascii="Arial"/>
          <w:b/>
          <w:sz w:val="18"/>
          <w:szCs w:val="20"/>
        </w:rPr>
        <w:t xml:space="preserve"> 1 Mechanism protection of neurons from attack by CD8+ cytotoxic T cells that involve lack of expression of HLA class </w:t>
      </w:r>
      <w:proofErr w:type="spellStart"/>
      <w:r w:rsidRPr="00CD6DE6">
        <w:rPr>
          <w:rFonts w:ascii="Arial"/>
          <w:b/>
          <w:sz w:val="18"/>
          <w:szCs w:val="20"/>
        </w:rPr>
        <w:t>Ia</w:t>
      </w:r>
      <w:proofErr w:type="spellEnd"/>
      <w:r w:rsidRPr="00CD6DE6">
        <w:rPr>
          <w:rFonts w:ascii="Arial"/>
          <w:b/>
          <w:sz w:val="18"/>
          <w:szCs w:val="20"/>
        </w:rPr>
        <w:t xml:space="preserve"> A, B and C receptors.</w:t>
      </w:r>
    </w:p>
    <w:p w:rsidR="00CD6DE6" w:rsidRPr="00CD6DE6" w:rsidRDefault="005973B9" w:rsidP="00CD6DE6">
      <w:pPr>
        <w:spacing w:line="204" w:lineRule="exact"/>
        <w:ind w:left="284"/>
        <w:jc w:val="both"/>
        <w:rPr>
          <w:rFonts w:ascii="Arial"/>
          <w:b/>
          <w:sz w:val="18"/>
          <w:szCs w:val="20"/>
          <w:rtl/>
        </w:rPr>
      </w:pPr>
      <w:r>
        <w:rPr>
          <w:rFonts w:ascii="Arial"/>
          <w:b/>
          <w:color w:val="BF5A14"/>
          <w:sz w:val="20"/>
        </w:rPr>
        <w:br/>
        <w:t>Recent Publications</w:t>
      </w:r>
    </w:p>
    <w:p w:rsidR="00CD6DE6" w:rsidRPr="00CD6DE6" w:rsidRDefault="00CD6DE6" w:rsidP="00CD6DE6">
      <w:pPr>
        <w:ind w:left="142"/>
        <w:jc w:val="both"/>
        <w:rPr>
          <w:rFonts w:ascii="Calibri" w:eastAsia="Calibri" w:hAnsi="Calibri" w:cs="Calibri"/>
          <w:sz w:val="18"/>
        </w:rPr>
      </w:pPr>
      <w:r>
        <w:rPr>
          <w:rFonts w:ascii="Calibri" w:eastAsia="Calibri" w:hAnsi="Calibri" w:cs="Calibri"/>
          <w:sz w:val="18"/>
        </w:rPr>
        <w:t xml:space="preserve">1. </w:t>
      </w:r>
      <w:r w:rsidRPr="00CD6DE6">
        <w:rPr>
          <w:rFonts w:ascii="Calibri" w:eastAsia="Calibri" w:hAnsi="Calibri" w:cs="Calibri"/>
          <w:sz w:val="18"/>
        </w:rPr>
        <w:t xml:space="preserve">Block, M.L., </w:t>
      </w:r>
      <w:proofErr w:type="spellStart"/>
      <w:r w:rsidRPr="00CD6DE6">
        <w:rPr>
          <w:rFonts w:ascii="Calibri" w:eastAsia="Calibri" w:hAnsi="Calibri" w:cs="Calibri"/>
          <w:sz w:val="18"/>
        </w:rPr>
        <w:t>Zecca</w:t>
      </w:r>
      <w:proofErr w:type="spellEnd"/>
      <w:r w:rsidRPr="00CD6DE6">
        <w:rPr>
          <w:rFonts w:ascii="Calibri" w:eastAsia="Calibri" w:hAnsi="Calibri" w:cs="Calibri"/>
          <w:sz w:val="18"/>
        </w:rPr>
        <w:t xml:space="preserve">, L. &amp; Hong, J.S. (2007). Microglia-mediated neurotoxicity: uncovering the molecular mechanisms. Nat. Rev. </w:t>
      </w:r>
      <w:proofErr w:type="spellStart"/>
      <w:r w:rsidRPr="00CD6DE6">
        <w:rPr>
          <w:rFonts w:ascii="Calibri" w:eastAsia="Calibri" w:hAnsi="Calibri" w:cs="Calibri"/>
          <w:sz w:val="18"/>
        </w:rPr>
        <w:t>Neurosci</w:t>
      </w:r>
      <w:proofErr w:type="spellEnd"/>
      <w:r w:rsidRPr="00CD6DE6">
        <w:rPr>
          <w:rFonts w:ascii="Calibri" w:eastAsia="Calibri" w:hAnsi="Calibri" w:cs="Calibri"/>
          <w:sz w:val="18"/>
        </w:rPr>
        <w:t>. 8, 57–</w:t>
      </w:r>
      <w:proofErr w:type="gramStart"/>
      <w:r w:rsidRPr="00CD6DE6">
        <w:rPr>
          <w:rFonts w:ascii="Calibri" w:eastAsia="Calibri" w:hAnsi="Calibri" w:cs="Calibri"/>
          <w:sz w:val="18"/>
        </w:rPr>
        <w:t>69 .</w:t>
      </w:r>
      <w:proofErr w:type="gramEnd"/>
    </w:p>
    <w:p w:rsidR="00CD6DE6" w:rsidRPr="00CD6DE6" w:rsidRDefault="00CD6DE6" w:rsidP="00CD6DE6">
      <w:pPr>
        <w:ind w:left="142"/>
        <w:jc w:val="both"/>
        <w:rPr>
          <w:rFonts w:ascii="Calibri" w:eastAsia="Calibri" w:hAnsi="Calibri" w:cs="Calibri"/>
          <w:sz w:val="18"/>
        </w:rPr>
      </w:pPr>
      <w:r>
        <w:rPr>
          <w:rFonts w:ascii="Calibri" w:eastAsia="Calibri" w:hAnsi="Calibri" w:cs="Calibri"/>
          <w:sz w:val="18"/>
        </w:rPr>
        <w:t>2.</w:t>
      </w:r>
      <w:r w:rsidRPr="00CD6DE6">
        <w:rPr>
          <w:rFonts w:ascii="Calibri" w:eastAsia="Calibri" w:hAnsi="Calibri" w:cs="Calibri"/>
          <w:sz w:val="18"/>
        </w:rPr>
        <w:t xml:space="preserve"> Lampson, L. </w:t>
      </w:r>
      <w:proofErr w:type="gramStart"/>
      <w:r w:rsidRPr="00CD6DE6">
        <w:rPr>
          <w:rFonts w:ascii="Calibri" w:eastAsia="Calibri" w:hAnsi="Calibri" w:cs="Calibri"/>
          <w:sz w:val="18"/>
        </w:rPr>
        <w:t>A .(</w:t>
      </w:r>
      <w:proofErr w:type="gramEnd"/>
      <w:r w:rsidRPr="00CD6DE6">
        <w:rPr>
          <w:rFonts w:ascii="Calibri" w:eastAsia="Calibri" w:hAnsi="Calibri" w:cs="Calibri"/>
          <w:sz w:val="18"/>
        </w:rPr>
        <w:t xml:space="preserve">1995).Interpreting MHC class I expression and class I/class II  </w:t>
      </w:r>
      <w:proofErr w:type="spellStart"/>
      <w:r w:rsidRPr="00CD6DE6">
        <w:rPr>
          <w:rFonts w:ascii="Calibri" w:eastAsia="Calibri" w:hAnsi="Calibri" w:cs="Calibri"/>
          <w:sz w:val="18"/>
        </w:rPr>
        <w:t>reciprocityin</w:t>
      </w:r>
      <w:proofErr w:type="spellEnd"/>
      <w:r w:rsidRPr="00CD6DE6">
        <w:rPr>
          <w:rFonts w:ascii="Calibri" w:eastAsia="Calibri" w:hAnsi="Calibri" w:cs="Calibri"/>
          <w:sz w:val="18"/>
        </w:rPr>
        <w:t xml:space="preserve"> the CNS: reconciling divergent findings. </w:t>
      </w:r>
      <w:proofErr w:type="spellStart"/>
      <w:proofErr w:type="gramStart"/>
      <w:r w:rsidRPr="00CD6DE6">
        <w:rPr>
          <w:rFonts w:ascii="Calibri" w:eastAsia="Calibri" w:hAnsi="Calibri" w:cs="Calibri"/>
          <w:sz w:val="18"/>
        </w:rPr>
        <w:t>Microsc</w:t>
      </w:r>
      <w:proofErr w:type="spellEnd"/>
      <w:r w:rsidRPr="00CD6DE6">
        <w:rPr>
          <w:rFonts w:ascii="Calibri" w:eastAsia="Calibri" w:hAnsi="Calibri" w:cs="Calibri"/>
          <w:sz w:val="18"/>
        </w:rPr>
        <w:t>.</w:t>
      </w:r>
      <w:proofErr w:type="gramEnd"/>
      <w:r w:rsidRPr="00CD6DE6">
        <w:rPr>
          <w:rFonts w:ascii="Calibri" w:eastAsia="Calibri" w:hAnsi="Calibri" w:cs="Calibri"/>
          <w:sz w:val="18"/>
        </w:rPr>
        <w:t xml:space="preserve"> Res. Tech</w:t>
      </w:r>
      <w:r w:rsidRPr="00CD6DE6">
        <w:rPr>
          <w:rFonts w:ascii="Calibri" w:eastAsia="Calibri" w:hAnsi="Calibri" w:cs="Calibri"/>
          <w:i/>
          <w:iCs/>
          <w:sz w:val="18"/>
        </w:rPr>
        <w:t xml:space="preserve">. </w:t>
      </w:r>
      <w:r w:rsidRPr="00CD6DE6">
        <w:rPr>
          <w:rFonts w:ascii="Calibri" w:eastAsia="Calibri" w:hAnsi="Calibri" w:cs="Calibri"/>
          <w:sz w:val="18"/>
        </w:rPr>
        <w:t xml:space="preserve">32, 267–285. </w:t>
      </w:r>
    </w:p>
    <w:p w:rsidR="00CD6DE6" w:rsidRPr="00CD6DE6" w:rsidRDefault="00CD6DE6" w:rsidP="00CD6DE6">
      <w:pPr>
        <w:ind w:left="142"/>
        <w:jc w:val="both"/>
        <w:rPr>
          <w:rFonts w:ascii="Calibri" w:eastAsia="Calibri" w:hAnsi="Calibri" w:cs="Calibri"/>
          <w:sz w:val="18"/>
        </w:rPr>
      </w:pPr>
      <w:r>
        <w:rPr>
          <w:rFonts w:ascii="Calibri" w:eastAsia="Calibri" w:hAnsi="Calibri" w:cs="Calibri"/>
          <w:sz w:val="18"/>
        </w:rPr>
        <w:t>3.</w:t>
      </w:r>
      <w:r w:rsidRPr="00CD6DE6">
        <w:rPr>
          <w:rFonts w:ascii="Calibri" w:eastAsia="Calibri" w:hAnsi="Calibri" w:cs="Calibri"/>
          <w:sz w:val="18"/>
        </w:rPr>
        <w:t xml:space="preserve"> </w:t>
      </w:r>
      <w:proofErr w:type="spellStart"/>
      <w:r w:rsidRPr="00CD6DE6">
        <w:rPr>
          <w:rFonts w:ascii="Calibri" w:eastAsia="Calibri" w:hAnsi="Calibri" w:cs="Calibri"/>
          <w:sz w:val="18"/>
        </w:rPr>
        <w:t>Gimsa</w:t>
      </w:r>
      <w:proofErr w:type="spellEnd"/>
      <w:r w:rsidRPr="00CD6DE6">
        <w:rPr>
          <w:rFonts w:ascii="Calibri" w:eastAsia="Calibri" w:hAnsi="Calibri" w:cs="Calibri"/>
          <w:sz w:val="18"/>
        </w:rPr>
        <w:t xml:space="preserve">, U., N. </w:t>
      </w:r>
      <w:proofErr w:type="spellStart"/>
      <w:r w:rsidRPr="00CD6DE6">
        <w:rPr>
          <w:rFonts w:ascii="Calibri" w:eastAsia="Calibri" w:hAnsi="Calibri" w:cs="Calibri"/>
          <w:sz w:val="18"/>
        </w:rPr>
        <w:t>Avrion</w:t>
      </w:r>
      <w:proofErr w:type="spellEnd"/>
      <w:r w:rsidRPr="00CD6DE6">
        <w:rPr>
          <w:rFonts w:ascii="Calibri" w:eastAsia="Calibri" w:hAnsi="Calibri" w:cs="Calibri"/>
          <w:sz w:val="18"/>
        </w:rPr>
        <w:t xml:space="preserve">, M., and </w:t>
      </w:r>
      <w:proofErr w:type="spellStart"/>
      <w:r w:rsidRPr="00CD6DE6">
        <w:rPr>
          <w:rFonts w:ascii="Calibri" w:eastAsia="Calibri" w:hAnsi="Calibri" w:cs="Calibri"/>
          <w:sz w:val="18"/>
        </w:rPr>
        <w:t>Weinzierl</w:t>
      </w:r>
      <w:proofErr w:type="spellEnd"/>
      <w:r w:rsidRPr="00CD6DE6">
        <w:rPr>
          <w:rFonts w:ascii="Calibri" w:eastAsia="Calibri" w:hAnsi="Calibri" w:cs="Calibri"/>
          <w:sz w:val="18"/>
        </w:rPr>
        <w:t xml:space="preserve">, M, C, B. (2013). Immune Privilege as an Intrinsic CNS Property: Astrocytes Protect the CNS against T-Cell-Mediated </w:t>
      </w:r>
      <w:proofErr w:type="spellStart"/>
      <w:r w:rsidRPr="00CD6DE6">
        <w:rPr>
          <w:rFonts w:ascii="Calibri" w:eastAsia="Calibri" w:hAnsi="Calibri" w:cs="Calibri"/>
          <w:sz w:val="18"/>
        </w:rPr>
        <w:t>Neuroinflammation</w:t>
      </w:r>
      <w:proofErr w:type="spellEnd"/>
      <w:r w:rsidRPr="00CD6DE6">
        <w:rPr>
          <w:rFonts w:ascii="Calibri" w:eastAsia="Calibri" w:hAnsi="Calibri" w:cs="Calibri"/>
          <w:sz w:val="18"/>
        </w:rPr>
        <w:t xml:space="preserve">. </w:t>
      </w:r>
      <w:proofErr w:type="spellStart"/>
      <w:r w:rsidRPr="00CD6DE6">
        <w:rPr>
          <w:rFonts w:ascii="Calibri" w:eastAsia="Calibri" w:hAnsi="Calibri" w:cs="Calibri"/>
          <w:sz w:val="18"/>
        </w:rPr>
        <w:t>Hindawi</w:t>
      </w:r>
      <w:proofErr w:type="spellEnd"/>
      <w:r w:rsidRPr="00CD6DE6">
        <w:rPr>
          <w:rFonts w:ascii="Calibri" w:eastAsia="Calibri" w:hAnsi="Calibri" w:cs="Calibri"/>
          <w:sz w:val="18"/>
        </w:rPr>
        <w:t xml:space="preserve"> Publishing Corporation. 1-</w:t>
      </w:r>
      <w:proofErr w:type="gramStart"/>
      <w:r w:rsidRPr="00CD6DE6">
        <w:rPr>
          <w:rFonts w:ascii="Calibri" w:eastAsia="Calibri" w:hAnsi="Calibri" w:cs="Calibri"/>
          <w:sz w:val="18"/>
        </w:rPr>
        <w:t>11 .</w:t>
      </w:r>
      <w:proofErr w:type="gramEnd"/>
    </w:p>
    <w:p w:rsidR="00CD6DE6" w:rsidRPr="00CD6DE6" w:rsidRDefault="00CD6DE6" w:rsidP="00CD6DE6">
      <w:pPr>
        <w:ind w:left="142"/>
        <w:jc w:val="both"/>
        <w:rPr>
          <w:rFonts w:ascii="Calibri" w:eastAsia="Calibri" w:hAnsi="Calibri" w:cs="Calibri"/>
          <w:sz w:val="18"/>
        </w:rPr>
      </w:pPr>
      <w:r>
        <w:rPr>
          <w:rFonts w:ascii="Calibri" w:eastAsia="Calibri" w:hAnsi="Calibri" w:cs="Calibri"/>
          <w:sz w:val="18"/>
        </w:rPr>
        <w:t>4.</w:t>
      </w:r>
      <w:r w:rsidRPr="00CD6DE6">
        <w:rPr>
          <w:rFonts w:ascii="Calibri" w:eastAsia="Calibri" w:hAnsi="Calibri" w:cs="Calibri"/>
          <w:sz w:val="18"/>
        </w:rPr>
        <w:t xml:space="preserve"> </w:t>
      </w:r>
      <w:proofErr w:type="spellStart"/>
      <w:r w:rsidRPr="00CD6DE6">
        <w:rPr>
          <w:rFonts w:ascii="Calibri" w:eastAsia="Calibri" w:hAnsi="Calibri" w:cs="Calibri"/>
          <w:sz w:val="18"/>
        </w:rPr>
        <w:t>Rajagopalan</w:t>
      </w:r>
      <w:proofErr w:type="spellEnd"/>
      <w:r w:rsidRPr="00CD6DE6">
        <w:rPr>
          <w:rFonts w:ascii="Calibri" w:eastAsia="Calibri" w:hAnsi="Calibri" w:cs="Calibri"/>
          <w:sz w:val="18"/>
        </w:rPr>
        <w:t xml:space="preserve">, S., Long, E. O. (1999) </w:t>
      </w:r>
      <w:proofErr w:type="gramStart"/>
      <w:r w:rsidRPr="00CD6DE6">
        <w:rPr>
          <w:rFonts w:ascii="Calibri" w:eastAsia="Calibri" w:hAnsi="Calibri" w:cs="Calibri"/>
          <w:sz w:val="18"/>
        </w:rPr>
        <w:t>A</w:t>
      </w:r>
      <w:proofErr w:type="gramEnd"/>
      <w:r w:rsidRPr="00CD6DE6">
        <w:rPr>
          <w:rFonts w:ascii="Calibri" w:eastAsia="Calibri" w:hAnsi="Calibri" w:cs="Calibri"/>
          <w:sz w:val="18"/>
        </w:rPr>
        <w:t xml:space="preserve"> human histocompatibility leukocyte antigen (HLA)-G–specific receptor expressed on all natural killer cells. J. Exp. Med. 189, 1093–1100.</w:t>
      </w:r>
    </w:p>
    <w:p w:rsidR="00CD6DE6" w:rsidRPr="00CD6DE6" w:rsidRDefault="00CD6DE6" w:rsidP="00CD6DE6">
      <w:pPr>
        <w:ind w:left="142"/>
        <w:jc w:val="both"/>
        <w:rPr>
          <w:rFonts w:ascii="Calibri" w:eastAsia="Calibri" w:hAnsi="Calibri" w:cs="Calibri"/>
          <w:sz w:val="18"/>
        </w:rPr>
      </w:pPr>
      <w:r>
        <w:rPr>
          <w:rFonts w:ascii="Calibri" w:eastAsia="Calibri" w:hAnsi="Calibri" w:cs="Calibri"/>
          <w:sz w:val="18"/>
        </w:rPr>
        <w:t>5</w:t>
      </w:r>
      <w:r w:rsidRPr="00CD6DE6">
        <w:rPr>
          <w:rFonts w:ascii="Calibri" w:eastAsia="Calibri" w:hAnsi="Calibri" w:cs="Calibri"/>
          <w:sz w:val="18"/>
        </w:rPr>
        <w:t xml:space="preserve">. </w:t>
      </w:r>
      <w:proofErr w:type="spellStart"/>
      <w:r w:rsidRPr="00CD6DE6">
        <w:rPr>
          <w:rFonts w:ascii="Calibri" w:eastAsia="Calibri" w:hAnsi="Calibri" w:cs="Calibri"/>
          <w:sz w:val="18"/>
        </w:rPr>
        <w:t>Saas</w:t>
      </w:r>
      <w:proofErr w:type="spellEnd"/>
      <w:r w:rsidRPr="00CD6DE6">
        <w:rPr>
          <w:rFonts w:ascii="Calibri" w:eastAsia="Calibri" w:hAnsi="Calibri" w:cs="Calibri"/>
          <w:sz w:val="18"/>
        </w:rPr>
        <w:t xml:space="preserve">, P., Walker, P. R., </w:t>
      </w:r>
      <w:proofErr w:type="spellStart"/>
      <w:r w:rsidRPr="00CD6DE6">
        <w:rPr>
          <w:rFonts w:ascii="Calibri" w:eastAsia="Calibri" w:hAnsi="Calibri" w:cs="Calibri"/>
          <w:sz w:val="18"/>
        </w:rPr>
        <w:t>Hahne</w:t>
      </w:r>
      <w:proofErr w:type="spellEnd"/>
      <w:r w:rsidRPr="00CD6DE6">
        <w:rPr>
          <w:rFonts w:ascii="Calibri" w:eastAsia="Calibri" w:hAnsi="Calibri" w:cs="Calibri"/>
          <w:sz w:val="18"/>
        </w:rPr>
        <w:t xml:space="preserve">, M., </w:t>
      </w:r>
      <w:proofErr w:type="spellStart"/>
      <w:r w:rsidRPr="00CD6DE6">
        <w:rPr>
          <w:rFonts w:ascii="Calibri" w:eastAsia="Calibri" w:hAnsi="Calibri" w:cs="Calibri"/>
          <w:sz w:val="18"/>
        </w:rPr>
        <w:t>Quiquerez</w:t>
      </w:r>
      <w:proofErr w:type="spellEnd"/>
      <w:r w:rsidRPr="00CD6DE6">
        <w:rPr>
          <w:rFonts w:ascii="Calibri" w:eastAsia="Calibri" w:hAnsi="Calibri" w:cs="Calibri"/>
          <w:sz w:val="18"/>
        </w:rPr>
        <w:t xml:space="preserve">, A. L., </w:t>
      </w:r>
      <w:proofErr w:type="spellStart"/>
      <w:r w:rsidRPr="00CD6DE6">
        <w:rPr>
          <w:rFonts w:ascii="Calibri" w:eastAsia="Calibri" w:hAnsi="Calibri" w:cs="Calibri"/>
          <w:sz w:val="18"/>
        </w:rPr>
        <w:t>Schnuriger</w:t>
      </w:r>
      <w:proofErr w:type="spellEnd"/>
      <w:r w:rsidRPr="00CD6DE6">
        <w:rPr>
          <w:rFonts w:ascii="Calibri" w:eastAsia="Calibri" w:hAnsi="Calibri" w:cs="Calibri"/>
          <w:sz w:val="18"/>
        </w:rPr>
        <w:t xml:space="preserve">, V., Perrin, G., French, L., Van Meir, E. G., </w:t>
      </w:r>
      <w:proofErr w:type="spellStart"/>
      <w:r w:rsidRPr="00CD6DE6">
        <w:rPr>
          <w:rFonts w:ascii="Calibri" w:eastAsia="Calibri" w:hAnsi="Calibri" w:cs="Calibri"/>
          <w:sz w:val="18"/>
        </w:rPr>
        <w:t>Tribolet</w:t>
      </w:r>
      <w:proofErr w:type="spellEnd"/>
      <w:r w:rsidRPr="00CD6DE6">
        <w:rPr>
          <w:rFonts w:ascii="Calibri" w:eastAsia="Calibri" w:hAnsi="Calibri" w:cs="Calibri"/>
          <w:sz w:val="18"/>
        </w:rPr>
        <w:t xml:space="preserve">, N. de.,  </w:t>
      </w:r>
      <w:proofErr w:type="spellStart"/>
      <w:r w:rsidRPr="00CD6DE6">
        <w:rPr>
          <w:rFonts w:ascii="Calibri" w:eastAsia="Calibri" w:hAnsi="Calibri" w:cs="Calibri"/>
          <w:sz w:val="18"/>
        </w:rPr>
        <w:t>Tschopp</w:t>
      </w:r>
      <w:proofErr w:type="spellEnd"/>
      <w:r w:rsidRPr="00CD6DE6">
        <w:rPr>
          <w:rFonts w:ascii="Calibri" w:eastAsia="Calibri" w:hAnsi="Calibri" w:cs="Calibri"/>
          <w:sz w:val="18"/>
        </w:rPr>
        <w:t xml:space="preserve">, J., Dietrich, P. Y.(1997). Fas ligand expression by astrocytoma in vivo: Maintaining immune privilege in the brain? J. </w:t>
      </w:r>
      <w:proofErr w:type="spellStart"/>
      <w:r w:rsidRPr="00CD6DE6">
        <w:rPr>
          <w:rFonts w:ascii="Calibri" w:eastAsia="Calibri" w:hAnsi="Calibri" w:cs="Calibri"/>
          <w:sz w:val="18"/>
        </w:rPr>
        <w:t>Clin</w:t>
      </w:r>
      <w:proofErr w:type="spellEnd"/>
      <w:r w:rsidRPr="00CD6DE6">
        <w:rPr>
          <w:rFonts w:ascii="Calibri" w:eastAsia="Calibri" w:hAnsi="Calibri" w:cs="Calibri"/>
          <w:sz w:val="18"/>
        </w:rPr>
        <w:t>. Invest. 99, 1173–1178.</w:t>
      </w:r>
    </w:p>
    <w:p w:rsidR="00CD6DE6" w:rsidRPr="00CD6DE6" w:rsidRDefault="00CD6DE6" w:rsidP="00CD6DE6">
      <w:pPr>
        <w:ind w:left="142"/>
        <w:jc w:val="both"/>
        <w:rPr>
          <w:rFonts w:ascii="Calibri" w:eastAsia="Calibri" w:hAnsi="Calibri" w:cs="Calibri"/>
          <w:sz w:val="18"/>
        </w:rPr>
      </w:pPr>
      <w:r>
        <w:rPr>
          <w:rFonts w:ascii="Calibri" w:eastAsia="Calibri" w:hAnsi="Calibri" w:cs="Calibri"/>
          <w:sz w:val="18"/>
        </w:rPr>
        <w:t>6</w:t>
      </w:r>
      <w:r w:rsidRPr="00CD6DE6">
        <w:rPr>
          <w:rFonts w:ascii="Calibri" w:eastAsia="Calibri" w:hAnsi="Calibri" w:cs="Calibri"/>
          <w:sz w:val="18"/>
        </w:rPr>
        <w:t xml:space="preserve">. </w:t>
      </w:r>
      <w:proofErr w:type="spellStart"/>
      <w:r w:rsidRPr="00CD6DE6">
        <w:rPr>
          <w:rFonts w:ascii="Calibri" w:eastAsia="Calibri" w:hAnsi="Calibri" w:cs="Calibri"/>
          <w:sz w:val="18"/>
        </w:rPr>
        <w:t>Lipp</w:t>
      </w:r>
      <w:proofErr w:type="spellEnd"/>
      <w:r w:rsidRPr="00CD6DE6">
        <w:rPr>
          <w:rFonts w:ascii="Calibri" w:eastAsia="Calibri" w:hAnsi="Calibri" w:cs="Calibri"/>
          <w:sz w:val="18"/>
        </w:rPr>
        <w:t xml:space="preserve">, M., Brandt, C., </w:t>
      </w:r>
      <w:proofErr w:type="spellStart"/>
      <w:r w:rsidRPr="00CD6DE6">
        <w:rPr>
          <w:rFonts w:ascii="Calibri" w:eastAsia="Calibri" w:hAnsi="Calibri" w:cs="Calibri"/>
          <w:sz w:val="18"/>
        </w:rPr>
        <w:t>Dehghani</w:t>
      </w:r>
      <w:proofErr w:type="spellEnd"/>
      <w:r w:rsidRPr="00CD6DE6">
        <w:rPr>
          <w:rFonts w:ascii="Calibri" w:eastAsia="Calibri" w:hAnsi="Calibri" w:cs="Calibri"/>
          <w:sz w:val="18"/>
        </w:rPr>
        <w:t xml:space="preserve">, F., </w:t>
      </w:r>
      <w:proofErr w:type="spellStart"/>
      <w:r w:rsidRPr="00CD6DE6">
        <w:rPr>
          <w:rFonts w:ascii="Calibri" w:eastAsia="Calibri" w:hAnsi="Calibri" w:cs="Calibri"/>
          <w:sz w:val="18"/>
        </w:rPr>
        <w:t>Kwidzinski</w:t>
      </w:r>
      <w:proofErr w:type="spellEnd"/>
      <w:r w:rsidRPr="00CD6DE6">
        <w:rPr>
          <w:rFonts w:ascii="Calibri" w:eastAsia="Calibri" w:hAnsi="Calibri" w:cs="Calibri"/>
          <w:sz w:val="18"/>
        </w:rPr>
        <w:t xml:space="preserve">, E., </w:t>
      </w:r>
      <w:proofErr w:type="spellStart"/>
      <w:r w:rsidRPr="00CD6DE6">
        <w:rPr>
          <w:rFonts w:ascii="Calibri" w:eastAsia="Calibri" w:hAnsi="Calibri" w:cs="Calibri"/>
          <w:sz w:val="18"/>
        </w:rPr>
        <w:t>Bechmann</w:t>
      </w:r>
      <w:proofErr w:type="spellEnd"/>
      <w:r w:rsidRPr="00CD6DE6">
        <w:rPr>
          <w:rFonts w:ascii="Calibri" w:eastAsia="Calibri" w:hAnsi="Calibri" w:cs="Calibri"/>
          <w:sz w:val="18"/>
        </w:rPr>
        <w:t xml:space="preserve">, I. (2007). </w:t>
      </w:r>
      <w:proofErr w:type="gramStart"/>
      <w:r w:rsidRPr="00CD6DE6">
        <w:rPr>
          <w:rFonts w:ascii="Calibri" w:eastAsia="Calibri" w:hAnsi="Calibri" w:cs="Calibri"/>
          <w:sz w:val="18"/>
        </w:rPr>
        <w:t>PD-L1 (B7-H1) regulation in zones of axonal degeneration.</w:t>
      </w:r>
      <w:proofErr w:type="gramEnd"/>
      <w:r w:rsidRPr="00CD6DE6">
        <w:rPr>
          <w:rFonts w:ascii="Calibri" w:eastAsia="Calibri" w:hAnsi="Calibri" w:cs="Calibri"/>
          <w:sz w:val="18"/>
        </w:rPr>
        <w:t xml:space="preserve"> </w:t>
      </w:r>
      <w:proofErr w:type="spellStart"/>
      <w:proofErr w:type="gramStart"/>
      <w:r w:rsidRPr="00CD6DE6">
        <w:rPr>
          <w:rFonts w:ascii="Calibri" w:eastAsia="Calibri" w:hAnsi="Calibri" w:cs="Calibri"/>
          <w:sz w:val="18"/>
        </w:rPr>
        <w:t>Neurosci</w:t>
      </w:r>
      <w:proofErr w:type="spellEnd"/>
      <w:r w:rsidRPr="00CD6DE6">
        <w:rPr>
          <w:rFonts w:ascii="Calibri" w:eastAsia="Calibri" w:hAnsi="Calibri" w:cs="Calibri"/>
          <w:sz w:val="18"/>
        </w:rPr>
        <w:t>.</w:t>
      </w:r>
      <w:proofErr w:type="gramEnd"/>
      <w:r w:rsidRPr="00CD6DE6">
        <w:rPr>
          <w:rFonts w:ascii="Calibri" w:eastAsia="Calibri" w:hAnsi="Calibri" w:cs="Calibri"/>
          <w:sz w:val="18"/>
        </w:rPr>
        <w:t xml:space="preserve"> </w:t>
      </w:r>
      <w:proofErr w:type="spellStart"/>
      <w:proofErr w:type="gramStart"/>
      <w:r w:rsidRPr="00CD6DE6">
        <w:rPr>
          <w:rFonts w:ascii="Calibri" w:eastAsia="Calibri" w:hAnsi="Calibri" w:cs="Calibri"/>
          <w:sz w:val="18"/>
        </w:rPr>
        <w:t>Lett</w:t>
      </w:r>
      <w:proofErr w:type="spellEnd"/>
      <w:r w:rsidRPr="00CD6DE6">
        <w:rPr>
          <w:rFonts w:ascii="Calibri" w:eastAsia="Calibri" w:hAnsi="Calibri" w:cs="Calibri"/>
          <w:sz w:val="18"/>
        </w:rPr>
        <w:t>.</w:t>
      </w:r>
      <w:proofErr w:type="gramEnd"/>
      <w:r w:rsidRPr="00CD6DE6">
        <w:rPr>
          <w:rFonts w:ascii="Calibri" w:eastAsia="Calibri" w:hAnsi="Calibri" w:cs="Calibri"/>
          <w:sz w:val="18"/>
        </w:rPr>
        <w:t xml:space="preserve"> 425, 156–</w:t>
      </w:r>
      <w:proofErr w:type="gramStart"/>
      <w:r w:rsidRPr="00CD6DE6">
        <w:rPr>
          <w:rFonts w:ascii="Calibri" w:eastAsia="Calibri" w:hAnsi="Calibri" w:cs="Calibri"/>
          <w:sz w:val="18"/>
        </w:rPr>
        <w:t>161 .</w:t>
      </w:r>
      <w:proofErr w:type="gramEnd"/>
    </w:p>
    <w:p w:rsidR="00CD6DE6" w:rsidRPr="00CD6DE6" w:rsidRDefault="00CD6DE6" w:rsidP="00CD6DE6">
      <w:pPr>
        <w:ind w:left="142"/>
        <w:jc w:val="both"/>
        <w:rPr>
          <w:rFonts w:ascii="Calibri" w:eastAsia="Calibri" w:hAnsi="Calibri" w:cs="Calibri"/>
          <w:sz w:val="18"/>
        </w:rPr>
      </w:pPr>
      <w:r>
        <w:rPr>
          <w:rFonts w:ascii="Calibri" w:eastAsia="Calibri" w:hAnsi="Calibri" w:cs="Calibri"/>
          <w:sz w:val="18"/>
        </w:rPr>
        <w:t>7</w:t>
      </w:r>
      <w:r w:rsidRPr="00CD6DE6">
        <w:rPr>
          <w:rFonts w:ascii="Calibri" w:eastAsia="Calibri" w:hAnsi="Calibri" w:cs="Calibri"/>
          <w:sz w:val="18"/>
        </w:rPr>
        <w:t xml:space="preserve">. </w:t>
      </w:r>
      <w:proofErr w:type="spellStart"/>
      <w:r w:rsidRPr="00CD6DE6">
        <w:rPr>
          <w:rFonts w:ascii="Calibri" w:eastAsia="Calibri" w:hAnsi="Calibri" w:cs="Calibri"/>
          <w:sz w:val="18"/>
        </w:rPr>
        <w:t>Kwidzinski</w:t>
      </w:r>
      <w:proofErr w:type="spellEnd"/>
      <w:r w:rsidRPr="00CD6DE6">
        <w:rPr>
          <w:rFonts w:ascii="Calibri" w:eastAsia="Calibri" w:hAnsi="Calibri" w:cs="Calibri"/>
          <w:sz w:val="18"/>
        </w:rPr>
        <w:t xml:space="preserve">, E., </w:t>
      </w:r>
      <w:proofErr w:type="spellStart"/>
      <w:r w:rsidRPr="00CD6DE6">
        <w:rPr>
          <w:rFonts w:ascii="Calibri" w:eastAsia="Calibri" w:hAnsi="Calibri" w:cs="Calibri"/>
          <w:sz w:val="18"/>
        </w:rPr>
        <w:t>Bunse</w:t>
      </w:r>
      <w:proofErr w:type="spellEnd"/>
      <w:r w:rsidRPr="00CD6DE6">
        <w:rPr>
          <w:rFonts w:ascii="Calibri" w:eastAsia="Calibri" w:hAnsi="Calibri" w:cs="Calibri"/>
          <w:sz w:val="18"/>
        </w:rPr>
        <w:t>, J</w:t>
      </w:r>
      <w:proofErr w:type="gramStart"/>
      <w:r w:rsidRPr="00CD6DE6">
        <w:rPr>
          <w:rFonts w:ascii="Calibri" w:eastAsia="Calibri" w:hAnsi="Calibri" w:cs="Calibri"/>
          <w:sz w:val="18"/>
        </w:rPr>
        <w:t>,.</w:t>
      </w:r>
      <w:proofErr w:type="gramEnd"/>
      <w:r w:rsidRPr="00CD6DE6">
        <w:rPr>
          <w:rFonts w:ascii="Calibri" w:eastAsia="Calibri" w:hAnsi="Calibri" w:cs="Calibri"/>
          <w:sz w:val="18"/>
        </w:rPr>
        <w:t xml:space="preserve"> </w:t>
      </w:r>
      <w:proofErr w:type="spellStart"/>
      <w:r w:rsidRPr="00CD6DE6">
        <w:rPr>
          <w:rFonts w:ascii="Calibri" w:eastAsia="Calibri" w:hAnsi="Calibri" w:cs="Calibri"/>
          <w:sz w:val="18"/>
        </w:rPr>
        <w:t>Aktas</w:t>
      </w:r>
      <w:proofErr w:type="spellEnd"/>
      <w:r w:rsidRPr="00CD6DE6">
        <w:rPr>
          <w:rFonts w:ascii="Calibri" w:eastAsia="Calibri" w:hAnsi="Calibri" w:cs="Calibri"/>
          <w:sz w:val="18"/>
        </w:rPr>
        <w:t xml:space="preserve">, O., Richter, D., </w:t>
      </w:r>
      <w:proofErr w:type="spellStart"/>
      <w:r w:rsidRPr="00CD6DE6">
        <w:rPr>
          <w:rFonts w:ascii="Calibri" w:eastAsia="Calibri" w:hAnsi="Calibri" w:cs="Calibri"/>
          <w:sz w:val="18"/>
        </w:rPr>
        <w:t>Mutlu</w:t>
      </w:r>
      <w:proofErr w:type="spellEnd"/>
      <w:r w:rsidRPr="00CD6DE6">
        <w:rPr>
          <w:rFonts w:ascii="Calibri" w:eastAsia="Calibri" w:hAnsi="Calibri" w:cs="Calibri"/>
          <w:sz w:val="18"/>
        </w:rPr>
        <w:t xml:space="preserve">, L., </w:t>
      </w:r>
      <w:proofErr w:type="spellStart"/>
      <w:r w:rsidRPr="00CD6DE6">
        <w:rPr>
          <w:rFonts w:ascii="Calibri" w:eastAsia="Calibri" w:hAnsi="Calibri" w:cs="Calibri"/>
          <w:sz w:val="18"/>
        </w:rPr>
        <w:t>Zipp</w:t>
      </w:r>
      <w:proofErr w:type="spellEnd"/>
      <w:r w:rsidRPr="00CD6DE6">
        <w:rPr>
          <w:rFonts w:ascii="Calibri" w:eastAsia="Calibri" w:hAnsi="Calibri" w:cs="Calibri"/>
          <w:sz w:val="18"/>
        </w:rPr>
        <w:t xml:space="preserve">, F. </w:t>
      </w:r>
      <w:proofErr w:type="spellStart"/>
      <w:r w:rsidRPr="00CD6DE6">
        <w:rPr>
          <w:rFonts w:ascii="Calibri" w:eastAsia="Calibri" w:hAnsi="Calibri" w:cs="Calibri"/>
          <w:sz w:val="18"/>
        </w:rPr>
        <w:t>Nitsch</w:t>
      </w:r>
      <w:proofErr w:type="spellEnd"/>
      <w:r w:rsidRPr="00CD6DE6">
        <w:rPr>
          <w:rFonts w:ascii="Calibri" w:eastAsia="Calibri" w:hAnsi="Calibri" w:cs="Calibri"/>
          <w:sz w:val="18"/>
        </w:rPr>
        <w:t xml:space="preserve">, R., </w:t>
      </w:r>
      <w:proofErr w:type="spellStart"/>
      <w:r w:rsidRPr="00CD6DE6">
        <w:rPr>
          <w:rFonts w:ascii="Calibri" w:eastAsia="Calibri" w:hAnsi="Calibri" w:cs="Calibri"/>
          <w:sz w:val="18"/>
        </w:rPr>
        <w:t>Bechmann</w:t>
      </w:r>
      <w:proofErr w:type="spellEnd"/>
      <w:r w:rsidRPr="00CD6DE6">
        <w:rPr>
          <w:rFonts w:ascii="Calibri" w:eastAsia="Calibri" w:hAnsi="Calibri" w:cs="Calibri"/>
          <w:sz w:val="18"/>
        </w:rPr>
        <w:t xml:space="preserve">, I. (2005). </w:t>
      </w:r>
      <w:proofErr w:type="spellStart"/>
      <w:r w:rsidRPr="00CD6DE6">
        <w:rPr>
          <w:rFonts w:ascii="Calibri" w:eastAsia="Calibri" w:hAnsi="Calibri" w:cs="Calibri"/>
          <w:sz w:val="18"/>
        </w:rPr>
        <w:t>Indolamine</w:t>
      </w:r>
      <w:proofErr w:type="spellEnd"/>
      <w:r w:rsidRPr="00CD6DE6">
        <w:rPr>
          <w:rFonts w:ascii="Calibri" w:eastAsia="Calibri" w:hAnsi="Calibri" w:cs="Calibri"/>
          <w:sz w:val="18"/>
        </w:rPr>
        <w:t xml:space="preserve"> 2</w:t>
      </w:r>
      <w:proofErr w:type="gramStart"/>
      <w:r w:rsidRPr="00CD6DE6">
        <w:rPr>
          <w:rFonts w:ascii="Calibri" w:eastAsia="Calibri" w:hAnsi="Calibri" w:cs="Calibri"/>
          <w:sz w:val="18"/>
        </w:rPr>
        <w:t>,3</w:t>
      </w:r>
      <w:proofErr w:type="gramEnd"/>
      <w:r w:rsidRPr="00CD6DE6">
        <w:rPr>
          <w:rFonts w:ascii="Calibri" w:eastAsia="Calibri" w:hAnsi="Calibri" w:cs="Calibri"/>
          <w:sz w:val="18"/>
        </w:rPr>
        <w:t>-dioxygenase is expressed in the CNS and down-regulates autoimmune inflammation. FASEB J. 19, 1347–</w:t>
      </w:r>
      <w:proofErr w:type="gramStart"/>
      <w:r w:rsidRPr="00CD6DE6">
        <w:rPr>
          <w:rFonts w:ascii="Calibri" w:eastAsia="Calibri" w:hAnsi="Calibri" w:cs="Calibri"/>
          <w:sz w:val="18"/>
        </w:rPr>
        <w:t>1349 .</w:t>
      </w:r>
      <w:proofErr w:type="gramEnd"/>
    </w:p>
    <w:p w:rsidR="00CD6DE6" w:rsidRPr="00CD6DE6" w:rsidRDefault="00CD6DE6" w:rsidP="00CD6DE6">
      <w:pPr>
        <w:spacing w:line="200" w:lineRule="exact"/>
        <w:jc w:val="both"/>
        <w:rPr>
          <w:rFonts w:ascii="Calibri" w:eastAsia="Calibri" w:hAnsi="Calibri" w:cs="Calibri"/>
          <w:sz w:val="18"/>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292ED9">
      <w:pPr>
        <w:pStyle w:val="a3"/>
        <w:spacing w:line="40" w:lineRule="exact"/>
        <w:ind w:left="2202"/>
        <w:rPr>
          <w:rFonts w:ascii="Calibri"/>
          <w:sz w:val="4"/>
        </w:rPr>
      </w:pPr>
      <w:r>
        <w:rPr>
          <w:rFonts w:ascii="Calibri"/>
          <w:noProof/>
          <w:sz w:val="4"/>
        </w:rPr>
        <w:lastRenderedPageBreak/>
        <mc:AlternateContent>
          <mc:Choice Requires="wpg">
            <w:drawing>
              <wp:inline distT="0" distB="0" distL="0" distR="0" wp14:anchorId="71F63F0F" wp14:editId="0EDE0EE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A07245">
        <w:rPr>
          <w:noProof/>
        </w:rPr>
        <w:drawing>
          <wp:inline distT="0" distB="0" distL="0" distR="0" wp14:anchorId="6F90DB76" wp14:editId="23402CD7">
            <wp:extent cx="626204" cy="621792"/>
            <wp:effectExtent l="0" t="0" r="2540" b="6985"/>
            <wp:docPr id="3" name="عنصر نائب للصورة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عنصر نائب للصورة 1"/>
                    <pic:cNvPicPr>
                      <a:picLocks noGrp="1" noChangeAspect="1"/>
                    </pic:cNvPicPr>
                  </pic:nvPicPr>
                  <pic:blipFill>
                    <a:blip r:embed="rId11" cstate="print">
                      <a:extLst>
                        <a:ext uri="{28A0092B-C50C-407E-A947-70E740481C1C}">
                          <a14:useLocalDpi xmlns:a14="http://schemas.microsoft.com/office/drawing/2010/main" val="0"/>
                        </a:ext>
                      </a:extLst>
                    </a:blip>
                    <a:srcRect l="4787" r="4787"/>
                    <a:stretch>
                      <a:fillRect/>
                    </a:stretch>
                  </pic:blipFill>
                  <pic:spPr>
                    <a:xfrm>
                      <a:off x="0" y="0"/>
                      <a:ext cx="630300" cy="625860"/>
                    </a:xfrm>
                    <a:prstGeom prst="rect">
                      <a:avLst/>
                    </a:prstGeom>
                    <a:solidFill>
                      <a:schemeClr val="bg1"/>
                    </a:solidFill>
                  </pic:spPr>
                </pic:pic>
              </a:graphicData>
            </a:graphic>
          </wp:inline>
        </w:drawing>
      </w:r>
      <w:r w:rsidR="002A196B">
        <w:rPr>
          <w:noProof/>
        </w:rPr>
        <w:t xml:space="preserve">  </w:t>
      </w:r>
    </w:p>
    <w:p w:rsidR="00AE3E37" w:rsidRDefault="002A196B" w:rsidP="00FC2E76">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FC2E76" w:rsidRPr="00FC2E76" w:rsidRDefault="00CB611F" w:rsidP="004A6139">
      <w:pPr>
        <w:spacing w:before="41" w:line="154" w:lineRule="exact"/>
        <w:ind w:left="213" w:right="231"/>
        <w:jc w:val="both"/>
        <w:rPr>
          <w:rFonts w:ascii="Arial"/>
          <w:sz w:val="14"/>
        </w:rPr>
      </w:pPr>
      <w:r>
        <w:rPr>
          <w:rFonts w:ascii="Arial"/>
          <w:sz w:val="14"/>
        </w:rPr>
        <w:t xml:space="preserve">      </w:t>
      </w:r>
      <w:r w:rsidR="00FC2E76" w:rsidRPr="00FC2E76">
        <w:rPr>
          <w:rFonts w:ascii="Arial"/>
          <w:sz w:val="14"/>
        </w:rPr>
        <w:t xml:space="preserve">Ahmed Ali Hussein completed a master's degree at the age of 26 years in microbiology and immunology from the University of </w:t>
      </w:r>
      <w:proofErr w:type="spellStart"/>
      <w:r w:rsidR="00FC2E76" w:rsidRPr="00FC2E76">
        <w:rPr>
          <w:rFonts w:ascii="Arial"/>
          <w:sz w:val="14"/>
        </w:rPr>
        <w:t>Qadisiyah</w:t>
      </w:r>
      <w:proofErr w:type="spellEnd"/>
      <w:r w:rsidR="00FC2E76" w:rsidRPr="00FC2E76">
        <w:rPr>
          <w:rFonts w:ascii="Arial"/>
          <w:sz w:val="14"/>
        </w:rPr>
        <w:t xml:space="preserve"> - College of Science had gotten a master's degree in 2016. It has been published of a number of research</w:t>
      </w:r>
      <w:r w:rsidR="00FC2E76">
        <w:rPr>
          <w:rFonts w:ascii="Arial"/>
          <w:sz w:val="14"/>
        </w:rPr>
        <w:t>'s</w:t>
      </w:r>
      <w:r w:rsidR="00FC2E76" w:rsidRPr="00FC2E76">
        <w:rPr>
          <w:rFonts w:ascii="Arial"/>
          <w:sz w:val="14"/>
        </w:rPr>
        <w:t xml:space="preserve"> in local and international journals, I have a book about immunology titled</w:t>
      </w:r>
      <w:r>
        <w:rPr>
          <w:rFonts w:ascii="Arial"/>
          <w:sz w:val="14"/>
        </w:rPr>
        <w:t xml:space="preserve">        </w:t>
      </w:r>
      <w:r w:rsidR="00FC2E76" w:rsidRPr="00FC2E76">
        <w:rPr>
          <w:rFonts w:ascii="Arial"/>
          <w:sz w:val="14"/>
        </w:rPr>
        <w:t xml:space="preserve"> </w:t>
      </w:r>
      <w:proofErr w:type="gramStart"/>
      <w:r>
        <w:rPr>
          <w:rFonts w:ascii="Arial"/>
          <w:sz w:val="14"/>
        </w:rPr>
        <w:t xml:space="preserve">" </w:t>
      </w:r>
      <w:r w:rsidR="00FC2E76" w:rsidRPr="00FC2E76">
        <w:rPr>
          <w:rFonts w:ascii="Arial"/>
          <w:sz w:val="14"/>
        </w:rPr>
        <w:t>Medical</w:t>
      </w:r>
      <w:proofErr w:type="gramEnd"/>
      <w:r w:rsidR="00FC2E76" w:rsidRPr="00FC2E76">
        <w:rPr>
          <w:rFonts w:ascii="Arial"/>
          <w:sz w:val="14"/>
        </w:rPr>
        <w:t xml:space="preserve"> Immunology</w:t>
      </w:r>
      <w:r>
        <w:rPr>
          <w:rFonts w:ascii="Arial"/>
          <w:sz w:val="14"/>
        </w:rPr>
        <w:t xml:space="preserve"> "</w:t>
      </w:r>
      <w:r w:rsidR="004A6139">
        <w:rPr>
          <w:rFonts w:ascii="Arial"/>
          <w:sz w:val="14"/>
        </w:rPr>
        <w:t>.</w:t>
      </w:r>
      <w:r>
        <w:rPr>
          <w:rFonts w:ascii="Arial"/>
          <w:sz w:val="14"/>
        </w:rPr>
        <w:t xml:space="preserve"> </w:t>
      </w:r>
      <w:r w:rsidR="00FC2E76" w:rsidRPr="00FC2E76">
        <w:rPr>
          <w:rFonts w:ascii="Arial"/>
          <w:sz w:val="14"/>
        </w:rPr>
        <w:t xml:space="preserve"> </w:t>
      </w:r>
      <w:r w:rsidR="004A6139" w:rsidRPr="004A6139">
        <w:rPr>
          <w:rFonts w:ascii="Arial"/>
          <w:sz w:val="14"/>
        </w:rPr>
        <w:t>I was assigned to supervise a number of undergraduate graduate studies for the purpos</w:t>
      </w:r>
      <w:r w:rsidR="004A6139">
        <w:rPr>
          <w:rFonts w:ascii="Arial"/>
          <w:sz w:val="14"/>
        </w:rPr>
        <w:t>e of obtaining a diploma degree, and</w:t>
      </w:r>
      <w:r w:rsidR="004A6139" w:rsidRPr="004A6139">
        <w:rPr>
          <w:rFonts w:ascii="Arial"/>
          <w:sz w:val="14"/>
        </w:rPr>
        <w:t xml:space="preserve"> I also provided a lot of advice to postgraduate students (Masters and </w:t>
      </w:r>
      <w:r w:rsidR="004A6139">
        <w:rPr>
          <w:rFonts w:ascii="Arial"/>
          <w:sz w:val="14"/>
        </w:rPr>
        <w:t>PhD) in the field of immunology</w:t>
      </w:r>
      <w:r w:rsidR="00FC2E76" w:rsidRPr="00FC2E76">
        <w:rPr>
          <w:rFonts w:ascii="Arial"/>
          <w:sz w:val="14"/>
        </w:rPr>
        <w:t>.</w:t>
      </w:r>
    </w:p>
    <w:p w:rsidR="00AE3E37" w:rsidRPr="002B0297" w:rsidRDefault="00CD6DE6" w:rsidP="002B0297">
      <w:pPr>
        <w:spacing w:before="41" w:line="154" w:lineRule="exact"/>
        <w:ind w:left="213" w:right="231"/>
        <w:jc w:val="center"/>
        <w:rPr>
          <w:rFonts w:ascii="Arial"/>
          <w:sz w:val="14"/>
        </w:rPr>
      </w:pPr>
      <w:r w:rsidRPr="00CD6DE6">
        <w:rPr>
          <w:rFonts w:ascii="Arial"/>
          <w:sz w:val="14"/>
        </w:rPr>
        <w:t xml:space="preserve">Email: </w:t>
      </w:r>
      <w:hyperlink r:id="rId12" w:history="1">
        <w:r w:rsidRPr="00CD6DE6">
          <w:rPr>
            <w:rStyle w:val="Hyperlink"/>
            <w:rFonts w:ascii="Arial"/>
            <w:sz w:val="14"/>
            <w:u w:val="none"/>
          </w:rPr>
          <w:t>immunologist_ahmed@yahoo.com</w:t>
        </w:r>
      </w:hyperlink>
      <w:r w:rsidR="00292ED9">
        <w:rPr>
          <w:noProof/>
        </w:rPr>
        <mc:AlternateContent>
          <mc:Choice Requires="wps">
            <w:drawing>
              <wp:anchor distT="0" distB="0" distL="0" distR="0" simplePos="0" relativeHeight="1072" behindDoc="0" locked="0" layoutInCell="1" allowOverlap="1" wp14:anchorId="7CE4F647" wp14:editId="76C8FB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2B0297" w:rsidRPr="00FC2E76" w:rsidRDefault="002B0297" w:rsidP="002B0297">
      <w:pPr>
        <w:spacing w:before="39"/>
        <w:ind w:left="100"/>
        <w:rPr>
          <w:rFonts w:ascii="Minion Pro"/>
          <w:bCs/>
          <w:sz w:val="20"/>
        </w:rPr>
      </w:pPr>
      <w:proofErr w:type="gramStart"/>
      <w:r w:rsidRPr="00B21A57">
        <w:rPr>
          <w:rFonts w:ascii="Minion Pro"/>
          <w:b/>
          <w:sz w:val="20"/>
        </w:rPr>
        <w:t>Notes/Comments</w:t>
      </w:r>
      <w:r w:rsidRPr="00FC2E76">
        <w:rPr>
          <w:rFonts w:ascii="Minion Pro"/>
          <w:bCs/>
          <w:sz w:val="20"/>
        </w:rPr>
        <w:t>:</w:t>
      </w:r>
      <w:r w:rsidR="00FC2E76" w:rsidRPr="00FC2E76">
        <w:rPr>
          <w:bCs/>
        </w:rPr>
        <w:t xml:space="preserve"> </w:t>
      </w:r>
      <w:r w:rsidR="00FC2E76" w:rsidRPr="00FC2E76">
        <w:rPr>
          <w:rFonts w:ascii="Minion Pro"/>
          <w:bCs/>
          <w:sz w:val="20"/>
        </w:rPr>
        <w:t>Immunology is a modern medical science and needs all of us to do more for the purpose of identifying it closely, and in the treatment of incurable diseases such as AIDS and cancer in the event of concerted efforts.</w:t>
      </w:r>
      <w:proofErr w:type="gramEnd"/>
    </w:p>
    <w:p w:rsidR="00AE3E37" w:rsidRDefault="00AE3E37">
      <w:pPr>
        <w:pStyle w:val="a3"/>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27E" w:rsidRDefault="00CD727E">
      <w:r>
        <w:separator/>
      </w:r>
    </w:p>
  </w:endnote>
  <w:endnote w:type="continuationSeparator" w:id="0">
    <w:p w:rsidR="00CD727E" w:rsidRDefault="00CD7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4BFE3B2C" wp14:editId="7330F4C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82A6DED" wp14:editId="4EC7E07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4FACDA8" wp14:editId="04B0881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27E" w:rsidRDefault="00CD727E">
      <w:r>
        <w:separator/>
      </w:r>
    </w:p>
  </w:footnote>
  <w:footnote w:type="continuationSeparator" w:id="0">
    <w:p w:rsidR="00CD727E" w:rsidRDefault="00CD72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731D"/>
    <w:rsid w:val="001263DF"/>
    <w:rsid w:val="00190A67"/>
    <w:rsid w:val="00292ED9"/>
    <w:rsid w:val="002A196B"/>
    <w:rsid w:val="002B0297"/>
    <w:rsid w:val="002B2804"/>
    <w:rsid w:val="002D0415"/>
    <w:rsid w:val="00404E5B"/>
    <w:rsid w:val="00412CC8"/>
    <w:rsid w:val="00414F7B"/>
    <w:rsid w:val="004355DC"/>
    <w:rsid w:val="004749B4"/>
    <w:rsid w:val="00494130"/>
    <w:rsid w:val="004A6139"/>
    <w:rsid w:val="004F3523"/>
    <w:rsid w:val="00537BC0"/>
    <w:rsid w:val="005973B9"/>
    <w:rsid w:val="005B3A56"/>
    <w:rsid w:val="006060CE"/>
    <w:rsid w:val="0063497F"/>
    <w:rsid w:val="006A04C6"/>
    <w:rsid w:val="00873DF0"/>
    <w:rsid w:val="008756E6"/>
    <w:rsid w:val="009B2D44"/>
    <w:rsid w:val="00A047E1"/>
    <w:rsid w:val="00A07245"/>
    <w:rsid w:val="00A07E82"/>
    <w:rsid w:val="00A9710C"/>
    <w:rsid w:val="00AE3E37"/>
    <w:rsid w:val="00B21A57"/>
    <w:rsid w:val="00BA39E6"/>
    <w:rsid w:val="00C33602"/>
    <w:rsid w:val="00CB611F"/>
    <w:rsid w:val="00CD6DE6"/>
    <w:rsid w:val="00CD6F55"/>
    <w:rsid w:val="00CD727E"/>
    <w:rsid w:val="00CE350B"/>
    <w:rsid w:val="00D0022F"/>
    <w:rsid w:val="00DE1AF1"/>
    <w:rsid w:val="00DE3104"/>
    <w:rsid w:val="00E47F24"/>
    <w:rsid w:val="00F72EEA"/>
    <w:rsid w:val="00F84CAE"/>
    <w:rsid w:val="00FC2E7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mmunologist_ahmed@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67C62-B3CD-46CA-9C2A-AD6B6828A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688</Words>
  <Characters>3923</Characters>
  <Application>Microsoft Office Word</Application>
  <DocSecurity>0</DocSecurity>
  <Lines>32</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Ahmed ali hussein</cp:lastModifiedBy>
  <cp:revision>11</cp:revision>
  <dcterms:created xsi:type="dcterms:W3CDTF">2017-04-25T14:01:00Z</dcterms:created>
  <dcterms:modified xsi:type="dcterms:W3CDTF">2017-09-27T11:38:00Z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