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360" w:before="0" w:after="0"/>
        <w:jc w:val="both"/>
        <w:rPr/>
      </w:pPr>
      <w:r>
        <w:rPr>
          <w:rFonts w:cs="Times New Roman" w:ascii="Times New Roman" w:hAnsi="Times New Roman"/>
          <w:b/>
          <w:bCs/>
          <w:i w:val="false"/>
          <w:iCs w:val="false"/>
          <w:color w:val="000000"/>
          <w:sz w:val="24"/>
          <w:szCs w:val="24"/>
        </w:rPr>
        <w:t>8</w:t>
      </w:r>
      <w:r>
        <w:rPr>
          <w:rFonts w:cs="Times New Roman" w:ascii="Times New Roman" w:hAnsi="Times New Roman"/>
          <w:b/>
          <w:bCs/>
          <w:i w:val="false"/>
          <w:iCs w:val="false"/>
          <w:color w:val="000000"/>
          <w:position w:val="8"/>
          <w:sz w:val="24"/>
          <w:szCs w:val="24"/>
        </w:rPr>
        <w:t>th</w:t>
      </w:r>
      <w:r>
        <w:rPr>
          <w:rFonts w:cs="Times New Roman" w:ascii="Times New Roman" w:hAnsi="Times New Roman"/>
          <w:b/>
          <w:bCs/>
          <w:i w:val="false"/>
          <w:iCs w:val="false"/>
          <w:color w:val="000000"/>
          <w:sz w:val="24"/>
          <w:szCs w:val="24"/>
        </w:rPr>
        <w:t xml:space="preserve"> International Conference on Neuroimmunology and Therapeutics, </w:t>
      </w:r>
      <w:r>
        <w:rPr>
          <w:rStyle w:val="StrongEmphasis"/>
          <w:rFonts w:cs="Times New Roman" w:ascii="Times New Roman" w:hAnsi="Times New Roman"/>
          <w:b/>
          <w:bCs/>
          <w:color w:val="000000"/>
          <w:sz w:val="24"/>
          <w:szCs w:val="24"/>
        </w:rPr>
        <w:t xml:space="preserve">November 13-14, 2017, </w:t>
      </w:r>
      <w:r>
        <w:rPr>
          <w:rFonts w:cs="Times New Roman" w:ascii="Times New Roman" w:hAnsi="Times New Roman"/>
          <w:b/>
          <w:bCs/>
          <w:color w:val="000000"/>
          <w:sz w:val="24"/>
          <w:szCs w:val="24"/>
        </w:rPr>
        <w:t xml:space="preserve">Athens, Greece </w:t>
      </w:r>
    </w:p>
    <w:p>
      <w:pPr>
        <w:pStyle w:val="Normal"/>
        <w:spacing w:lineRule="auto" w:line="360" w:before="0" w:after="0"/>
        <w:jc w:val="both"/>
        <w:rPr>
          <w:rFonts w:cs="Times New Roman"/>
          <w:color w:val="000000"/>
        </w:rPr>
      </w:pPr>
      <w:r>
        <w:rPr>
          <w:rFonts w:cs="Times New Roman"/>
          <w:color w:val="000000"/>
        </w:rPr>
      </w:r>
    </w:p>
    <w:p>
      <w:pPr>
        <w:pStyle w:val="Normal"/>
        <w:spacing w:lineRule="auto" w:line="360" w:before="0" w:after="0"/>
        <w:jc w:val="both"/>
        <w:rPr>
          <w:rFonts w:cs="Times New Roman"/>
          <w:color w:val="000000"/>
        </w:rPr>
      </w:pPr>
      <w:r>
        <w:rPr>
          <w:rFonts w:cs="Times New Roman"/>
          <w:color w:val="000000"/>
        </w:rPr>
      </w:r>
    </w:p>
    <w:p>
      <w:pPr>
        <w:pStyle w:val="Normal"/>
        <w:spacing w:lineRule="auto" w:line="360" w:before="0" w:after="0"/>
        <w:jc w:val="center"/>
        <w:rPr>
          <w:b/>
          <w:b/>
          <w:bCs/>
          <w:sz w:val="30"/>
          <w:szCs w:val="30"/>
        </w:rPr>
      </w:pPr>
      <w:r>
        <w:rPr>
          <w:rFonts w:cs="Times New Roman" w:ascii="Times New Roman" w:hAnsi="Times New Roman"/>
          <w:b/>
          <w:bCs/>
          <w:i w:val="false"/>
          <w:iCs w:val="false"/>
          <w:color w:val="000000"/>
          <w:sz w:val="30"/>
          <w:szCs w:val="30"/>
        </w:rPr>
        <w:t xml:space="preserve"> </w:t>
      </w:r>
      <w:r>
        <w:rPr>
          <w:rFonts w:cs="Times New Roman" w:ascii="Times New Roman" w:hAnsi="Times New Roman"/>
          <w:b/>
          <w:bCs/>
          <w:i w:val="false"/>
          <w:iCs w:val="false"/>
          <w:color w:val="000000"/>
          <w:sz w:val="30"/>
          <w:szCs w:val="30"/>
        </w:rPr>
        <w:t xml:space="preserve">Microglia activation in animal model of post-traumatic stress disorder </w:t>
      </w:r>
    </w:p>
    <w:p>
      <w:pPr>
        <w:pStyle w:val="Normal"/>
        <w:spacing w:lineRule="auto" w:line="360" w:before="0" w:after="0"/>
        <w:jc w:val="center"/>
        <w:rPr>
          <w:rFonts w:cs="Times New Roman"/>
          <w:b/>
          <w:b/>
          <w:bCs/>
          <w:color w:val="000000"/>
        </w:rPr>
      </w:pPr>
      <w:r>
        <w:rPr>
          <w:rFonts w:cs="Times New Roman"/>
          <w:b/>
          <w:bCs/>
          <w:color w:val="000000"/>
        </w:rPr>
      </w:r>
    </w:p>
    <w:p>
      <w:pPr>
        <w:pStyle w:val="Normal"/>
        <w:spacing w:lineRule="auto" w:line="360" w:before="0" w:after="0"/>
        <w:jc w:val="center"/>
        <w:rPr/>
      </w:pPr>
      <w:r>
        <w:rPr>
          <w:rFonts w:cs="Times New Roman" w:ascii="Times New Roman" w:hAnsi="Times New Roman"/>
          <w:b/>
          <w:bCs/>
          <w:i w:val="false"/>
          <w:iCs w:val="false"/>
          <w:color w:val="000000"/>
          <w:sz w:val="24"/>
          <w:szCs w:val="24"/>
        </w:rPr>
        <w:t xml:space="preserve">Sidorova M.V., </w:t>
      </w:r>
      <w:r>
        <w:rPr>
          <w:rFonts w:cs="Times New Roman" w:ascii="Times New Roman" w:hAnsi="Times New Roman"/>
          <w:b/>
          <w:bCs/>
          <w:i w:val="false"/>
          <w:iCs w:val="false"/>
          <w:color w:val="000000"/>
          <w:sz w:val="24"/>
          <w:szCs w:val="24"/>
        </w:rPr>
        <w:t xml:space="preserve">Tuchina O.P., </w:t>
      </w:r>
      <w:r>
        <w:rPr>
          <w:rFonts w:cs="Times New Roman" w:ascii="Times New Roman" w:hAnsi="Times New Roman"/>
          <w:b/>
          <w:bCs/>
          <w:i w:val="false"/>
          <w:iCs w:val="false"/>
          <w:color w:val="000000"/>
          <w:sz w:val="24"/>
          <w:szCs w:val="24"/>
        </w:rPr>
        <w:t>Vakolyuk I.A.</w:t>
      </w:r>
    </w:p>
    <w:p>
      <w:pPr>
        <w:pStyle w:val="Normal"/>
        <w:spacing w:lineRule="auto" w:line="360" w:before="0" w:after="0"/>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360" w:before="0" w:after="0"/>
        <w:jc w:val="both"/>
        <w:rPr>
          <w:rFonts w:ascii="Times New Roman" w:hAnsi="Times New Roman"/>
          <w:sz w:val="24"/>
          <w:szCs w:val="24"/>
        </w:rPr>
      </w:pPr>
      <w:r>
        <w:rPr>
          <w:rFonts w:cs="Times New Roman" w:ascii="Times New Roman" w:hAnsi="Times New Roman"/>
          <w:b w:val="false"/>
          <w:bCs w:val="false"/>
          <w:i w:val="false"/>
          <w:iCs w:val="false"/>
          <w:color w:val="000000"/>
          <w:sz w:val="24"/>
          <w:szCs w:val="24"/>
        </w:rPr>
        <w:tab/>
        <w:t xml:space="preserve">The central nervous system has historically been considered immune-privileged; however this privileged position mostly consists of adaptive immune responses with restricted access of  infiltrating lymphocytes into the brain parenchyma, while cells of the innate immune system — microglia — are abundant in the brain. Microglia is also considered a key player in many neuroinflammatory conditions. Microglial cells respond to infectious agents such as LPS with reactive phenotype and changes in expression of </w:t>
      </w:r>
      <w:r>
        <w:rPr>
          <w:rFonts w:cs="Times New Roman" w:ascii="Times New Roman" w:hAnsi="Times New Roman"/>
          <w:b w:val="false"/>
          <w:bCs w:val="false"/>
          <w:i w:val="false"/>
          <w:iCs w:val="false"/>
          <w:color w:val="000000"/>
          <w:sz w:val="24"/>
          <w:szCs w:val="24"/>
        </w:rPr>
        <w:t>certain</w:t>
      </w:r>
      <w:r>
        <w:rPr>
          <w:rFonts w:cs="Times New Roman" w:ascii="Times New Roman" w:hAnsi="Times New Roman"/>
          <w:b w:val="false"/>
          <w:bCs w:val="false"/>
          <w:i w:val="false"/>
          <w:iCs w:val="false"/>
          <w:color w:val="000000"/>
          <w:sz w:val="24"/>
          <w:szCs w:val="24"/>
        </w:rPr>
        <w:t xml:space="preserve"> markers such as Iba1. Reactive microglia are also found in the brain during neuroinflammatory processes in  depression, bipolar disorder, post-traumatic stress disorder (PTSD). We used animal model of PTSD in order to test how chronic stress affects the </w:t>
      </w:r>
      <w:r>
        <w:rPr>
          <w:rFonts w:cs="Times New Roman" w:ascii="Times New Roman" w:hAnsi="Times New Roman"/>
          <w:b w:val="false"/>
          <w:bCs w:val="false"/>
          <w:i w:val="false"/>
          <w:iCs w:val="false"/>
          <w:color w:val="000000"/>
          <w:sz w:val="24"/>
          <w:szCs w:val="24"/>
        </w:rPr>
        <w:t xml:space="preserve">neurogenesis, </w:t>
      </w:r>
      <w:r>
        <w:rPr>
          <w:rFonts w:cs="Times New Roman" w:ascii="Times New Roman" w:hAnsi="Times New Roman"/>
          <w:b w:val="false"/>
          <w:bCs w:val="false"/>
          <w:i w:val="false"/>
          <w:iCs w:val="false"/>
          <w:color w:val="000000"/>
          <w:sz w:val="24"/>
          <w:szCs w:val="24"/>
        </w:rPr>
        <w:t xml:space="preserve">reactivity of microglial cells as well as their density in the dentate gyrus of the hippocampus and whether hippocampal volume is changing during PTSD. </w:t>
      </w:r>
      <w:r>
        <w:rPr>
          <w:rFonts w:cs="Times New Roman" w:ascii="Times New Roman" w:hAnsi="Times New Roman"/>
          <w:b w:val="false"/>
          <w:bCs w:val="false"/>
          <w:color w:val="000000"/>
          <w:sz w:val="24"/>
          <w:szCs w:val="24"/>
          <w:u w:val="none"/>
          <w:lang w:val="en-US"/>
        </w:rPr>
        <w:t xml:space="preserve">According to our results, 10 days after </w:t>
      </w:r>
      <w:r>
        <w:rPr>
          <w:rFonts w:cs="Times New Roman" w:ascii="Times New Roman" w:hAnsi="Times New Roman"/>
          <w:b w:val="false"/>
          <w:bCs w:val="false"/>
          <w:color w:val="000000"/>
          <w:sz w:val="24"/>
          <w:szCs w:val="24"/>
          <w:u w:val="none"/>
          <w:lang w:val="en-US"/>
        </w:rPr>
        <w:t>stress onset</w:t>
      </w:r>
      <w:r>
        <w:rPr>
          <w:rFonts w:cs="Times New Roman" w:ascii="Times New Roman" w:hAnsi="Times New Roman"/>
          <w:b w:val="false"/>
          <w:bCs w:val="false"/>
          <w:color w:val="000000"/>
          <w:sz w:val="24"/>
          <w:szCs w:val="24"/>
          <w:u w:val="none"/>
          <w:lang w:val="en-US"/>
        </w:rPr>
        <w:t xml:space="preserve"> the number of Iba1+ microglial cells </w:t>
      </w:r>
      <w:r>
        <w:rPr>
          <w:rFonts w:cs="Times New Roman" w:ascii="Times New Roman" w:hAnsi="Times New Roman"/>
          <w:b w:val="false"/>
          <w:bCs w:val="false"/>
          <w:i w:val="false"/>
          <w:iCs w:val="false"/>
          <w:color w:val="000000"/>
          <w:sz w:val="24"/>
          <w:szCs w:val="24"/>
          <w:u w:val="none"/>
          <w:lang w:val="en-US"/>
        </w:rPr>
        <w:t xml:space="preserve">in the dentate gyrus of the hippocampus </w:t>
      </w:r>
      <w:r>
        <w:rPr>
          <w:rFonts w:cs="Times New Roman" w:ascii="Times New Roman" w:hAnsi="Times New Roman"/>
          <w:b w:val="false"/>
          <w:bCs w:val="false"/>
          <w:color w:val="000000"/>
          <w:sz w:val="24"/>
          <w:szCs w:val="24"/>
          <w:u w:val="none"/>
          <w:lang w:val="en-US"/>
        </w:rPr>
        <w:t>increase</w:t>
      </w:r>
      <w:r>
        <w:rPr>
          <w:rFonts w:cs="Times New Roman" w:ascii="Times New Roman" w:hAnsi="Times New Roman"/>
          <w:b w:val="false"/>
          <w:bCs w:val="false"/>
          <w:color w:val="000000"/>
          <w:sz w:val="24"/>
          <w:szCs w:val="24"/>
          <w:u w:val="none"/>
          <w:lang w:val="en-US"/>
        </w:rPr>
        <w:t>d</w:t>
      </w:r>
      <w:r>
        <w:rPr>
          <w:rFonts w:cs="Times New Roman" w:ascii="Times New Roman" w:hAnsi="Times New Roman"/>
          <w:b w:val="false"/>
          <w:bCs w:val="false"/>
          <w:color w:val="000000"/>
          <w:sz w:val="24"/>
          <w:szCs w:val="24"/>
          <w:u w:val="none"/>
          <w:lang w:val="en-US"/>
        </w:rPr>
        <w:t xml:space="preserve"> </w:t>
      </w:r>
      <w:r>
        <w:rPr>
          <w:rFonts w:cs="Times New Roman" w:ascii="Times New Roman" w:hAnsi="Times New Roman"/>
          <w:b w:val="false"/>
          <w:bCs w:val="false"/>
          <w:color w:val="000000"/>
          <w:sz w:val="24"/>
          <w:szCs w:val="24"/>
          <w:u w:val="none"/>
          <w:lang w:val="en-US"/>
        </w:rPr>
        <w:t xml:space="preserve">substantially </w:t>
      </w:r>
      <w:r>
        <w:rPr>
          <w:rFonts w:cs="Times New Roman" w:ascii="Times New Roman" w:hAnsi="Times New Roman"/>
          <w:b w:val="false"/>
          <w:bCs w:val="false"/>
          <w:color w:val="000000"/>
          <w:sz w:val="24"/>
          <w:szCs w:val="24"/>
          <w:u w:val="none"/>
          <w:lang w:val="en-US"/>
        </w:rPr>
        <w:t xml:space="preserve">compared to the control group (Mann–Whitney, </w:t>
      </w:r>
      <w:r>
        <w:rPr>
          <w:rFonts w:cs="Times New Roman" w:ascii="Times New Roman" w:hAnsi="Times New Roman"/>
          <w:b w:val="false"/>
          <w:bCs w:val="false"/>
          <w:i w:val="false"/>
          <w:iCs w:val="false"/>
          <w:color w:val="000000"/>
          <w:sz w:val="24"/>
          <w:szCs w:val="24"/>
          <w:u w:val="none"/>
          <w:lang w:val="en-US"/>
        </w:rPr>
        <w:t>р=0,028</w:t>
      </w:r>
      <w:r>
        <w:rPr>
          <w:rFonts w:cs="Times New Roman" w:ascii="Times New Roman" w:hAnsi="Times New Roman"/>
          <w:b w:val="false"/>
          <w:bCs w:val="false"/>
          <w:color w:val="000000"/>
          <w:sz w:val="24"/>
          <w:szCs w:val="24"/>
          <w:u w:val="none"/>
          <w:lang w:val="en-US"/>
        </w:rPr>
        <w:t xml:space="preserve">). However we did not see any inflammatory foci, i.e. microglial nodules. The intensity of Iba1+ staining of as well as the size and shape of cells did not differ from the control group. </w:t>
      </w:r>
      <w:r>
        <w:rPr>
          <w:rFonts w:cs="Times New Roman" w:ascii="Times New Roman" w:hAnsi="Times New Roman"/>
          <w:b w:val="false"/>
          <w:bCs w:val="false"/>
          <w:color w:val="000000"/>
          <w:sz w:val="24"/>
          <w:szCs w:val="24"/>
          <w:u w:val="none"/>
          <w:lang w:val="en-US"/>
        </w:rPr>
        <w:t xml:space="preserve">The hippocampal volume did not change significantly. </w:t>
      </w:r>
      <w:r>
        <w:rPr>
          <w:rFonts w:cs="Times New Roman" w:ascii="Times New Roman" w:hAnsi="Times New Roman"/>
          <w:b w:val="false"/>
          <w:bCs w:val="false"/>
          <w:color w:val="000000"/>
          <w:sz w:val="24"/>
          <w:szCs w:val="24"/>
          <w:u w:val="none"/>
          <w:lang w:val="en-US"/>
        </w:rPr>
        <w:t xml:space="preserve">We propose that </w:t>
      </w:r>
      <w:r>
        <w:rPr>
          <w:rFonts w:cs="Times New Roman" w:ascii="Times New Roman" w:hAnsi="Times New Roman"/>
          <w:b w:val="false"/>
          <w:bCs w:val="false"/>
          <w:color w:val="000000"/>
          <w:sz w:val="24"/>
          <w:szCs w:val="24"/>
          <w:u w:val="none"/>
          <w:lang w:val="en-US"/>
        </w:rPr>
        <w:t>neurotoxic or neuroprotective role of microglia cells can change depending on the microenvironment, such as in presence of certain cytokines, interleukins, hormones that lead to corresponding changes in the molecular profiles of glial cells. The particular mechanisms of microglia activation and its role in neurogenesis is discussed.</w:t>
      </w:r>
    </w:p>
    <w:p>
      <w:pPr>
        <w:pStyle w:val="Normal"/>
        <w:spacing w:lineRule="auto" w:line="360" w:before="0" w:after="0"/>
        <w:jc w:val="both"/>
        <w:rPr>
          <w:rFonts w:ascii="Times New Roman" w:hAnsi="Times New Roman" w:cs="Times New Roman"/>
          <w:b w:val="false"/>
          <w:b w:val="false"/>
          <w:bCs w:val="false"/>
          <w:color w:val="000000"/>
          <w:sz w:val="24"/>
          <w:szCs w:val="24"/>
          <w:u w:val="none"/>
          <w:lang w:val="en-US"/>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sz w:val="24"/>
      <w:szCs w:val="24"/>
      <w:lang w:val="en-US" w:eastAsia="zh-CN" w:bidi="hi-IN"/>
    </w:rPr>
  </w:style>
  <w:style w:type="paragraph" w:styleId="Heading1">
    <w:name w:val="Heading 1"/>
    <w:basedOn w:val="Heading"/>
    <w:qFormat/>
    <w:pPr>
      <w:spacing w:before="240" w:after="120"/>
      <w:outlineLvl w:val="0"/>
    </w:pPr>
    <w:rPr>
      <w:rFonts w:ascii="Liberation Serif" w:hAnsi="Liberation Serif" w:eastAsia="Noto Sans CJK SC Regular" w:cs="FreeSans"/>
      <w:b/>
      <w:bCs/>
      <w:sz w:val="48"/>
      <w:szCs w:val="48"/>
    </w:rPr>
  </w:style>
  <w:style w:type="character" w:styleId="StrongEmphasis">
    <w:name w:val="Strong Emphasis"/>
    <w:qFormat/>
    <w:rPr>
      <w:b/>
      <w:bCs/>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TotalTime>
  <Application>LibreOffice/5.1.6.2$Linux_X86_64 LibreOffice_project/10m0$Build-2</Application>
  <Pages>1</Pages>
  <Words>283</Words>
  <Characters>1664</Characters>
  <CharactersWithSpaces>1950</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2017-06-28T11:06:00Z</dcterms:created>
  <dc:creator/>
  <dc:description/>
  <dc:language>en-US</dc:language>
  <cp:lastModifiedBy/>
  <dcterms:modified xsi:type="dcterms:W3CDTF">2017-06-28T11:13:36Z</dcterms:modified>
  <cp:revision>3</cp:revision>
  <dc:subject/>
  <dc:title/>
</cp:coreProperties>
</file>