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AF61EB" w:rsidP="00C67966">
      <w:pPr>
        <w:keepNext/>
        <w:bidi/>
        <w:rPr>
          <w:rFonts w:hint="cs"/>
          <w:rtl/>
          <w:lang w:bidi="fa-IR"/>
        </w:rPr>
      </w:pPr>
    </w:p>
    <w:p w:rsidR="00AF61EB" w:rsidRDefault="00BE28B2" w:rsidP="00BE28B2">
      <w:pPr>
        <w:rPr>
          <w:rFonts w:eastAsia="MS PGothic"/>
          <w:b/>
          <w:color w:val="000000"/>
          <w:sz w:val="28"/>
          <w:szCs w:val="28"/>
        </w:rPr>
      </w:pPr>
      <w:r>
        <w:rPr>
          <w:rFonts w:eastAsia="Times New Roman"/>
          <w:noProof/>
          <w:color w:val="000000"/>
          <w:sz w:val="0"/>
          <w:szCs w:val="0"/>
          <w:u w:color="000000"/>
          <w:lang w:eastAsia="en-US"/>
        </w:rPr>
        <mc:AlternateContent>
          <mc:Choice Requires="wps">
            <w:drawing>
              <wp:anchor distT="0" distB="0" distL="114300" distR="114300" simplePos="0" relativeHeight="251659264" behindDoc="0" locked="0" layoutInCell="1" allowOverlap="1">
                <wp:simplePos x="0" y="0"/>
                <wp:positionH relativeFrom="column">
                  <wp:posOffset>4184294</wp:posOffset>
                </wp:positionH>
                <wp:positionV relativeFrom="paragraph">
                  <wp:posOffset>131978</wp:posOffset>
                </wp:positionV>
                <wp:extent cx="1828800" cy="1243584"/>
                <wp:effectExtent l="0" t="0" r="0" b="0"/>
                <wp:wrapNone/>
                <wp:docPr id="6" name="Rectangle 6"/>
                <wp:cNvGraphicFramePr/>
                <a:graphic xmlns:a="http://schemas.openxmlformats.org/drawingml/2006/main">
                  <a:graphicData uri="http://schemas.microsoft.com/office/word/2010/wordprocessingShape">
                    <wps:wsp>
                      <wps:cNvSpPr/>
                      <wps:spPr>
                        <a:xfrm>
                          <a:off x="0" y="0"/>
                          <a:ext cx="1828800" cy="124358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E28B2" w:rsidRDefault="00BE28B2" w:rsidP="00BE28B2">
                            <w:pPr>
                              <w:jc w:val="center"/>
                            </w:pPr>
                            <w:r>
                              <w:rPr>
                                <w:noProof/>
                                <w:lang w:eastAsia="en-US"/>
                              </w:rPr>
                              <w:drawing>
                                <wp:inline distT="0" distB="0" distL="0" distR="0" wp14:anchorId="7F1E14A5" wp14:editId="400B070F">
                                  <wp:extent cx="1620520" cy="1620520"/>
                                  <wp:effectExtent l="0" t="0" r="0" b="0"/>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20520" cy="16205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6" o:spid="_x0000_s1026" style="position:absolute;margin-left:329.45pt;margin-top:10.4pt;width:2in;height:97.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" filled="f" stroked="f" strokeweight="2pt">
                <v:textbox>
                  <w:txbxContent>
                    <w:p w:rsidR="00BE28B2" w:rsidRDefault="00BE28B2" w:rsidP="00BE28B2">
                      <w:pPr>
                        <w:jc w:val="center"/>
                      </w:pPr>
                      <w:r>
                        <w:rPr>
                          <w:noProof/>
                          <w:lang w:eastAsia="en-US"/>
                        </w:rPr>
                        <w:drawing>
                          <wp:inline distT="0" distB="0" distL="0" distR="0" wp14:anchorId="7F1E14A5" wp14:editId="400B070F">
                            <wp:extent cx="1620520" cy="1620520"/>
                            <wp:effectExtent l="0" t="0" r="0" b="0"/>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20520" cy="1620520"/>
                                    </a:xfrm>
                                    <a:prstGeom prst="rect">
                                      <a:avLst/>
                                    </a:prstGeom>
                                    <a:noFill/>
                                    <a:ln>
                                      <a:noFill/>
                                    </a:ln>
                                  </pic:spPr>
                                </pic:pic>
                              </a:graphicData>
                            </a:graphic>
                          </wp:inline>
                        </w:drawing>
                      </w:r>
                    </w:p>
                  </w:txbxContent>
                </v:textbox>
              </v:rect>
            </w:pict>
          </mc:Fallback>
        </mc:AlternateContent>
      </w:r>
      <w:r w:rsidR="00180A6C" w:rsidRPr="00180A6C">
        <w:rPr>
          <w:rStyle w:val="Normal"/>
          <w:rFonts w:eastAsia="Times New Roman"/>
          <w:snapToGrid w:val="0"/>
          <w:color w:val="000000"/>
          <w:w w:val="0"/>
          <w:sz w:val="0"/>
          <w:szCs w:val="0"/>
          <w:u w:color="000000"/>
          <w:bdr w:val="none" w:sz="0" w:space="0" w:color="000000"/>
          <w:shd w:val="clear" w:color="000000" w:fill="000000"/>
          <w:lang w:val="x-none" w:eastAsia="x-none" w:bidi="x-none"/>
        </w:rPr>
        <w:t xml:space="preserve"> </w:t>
      </w:r>
      <w:r w:rsidR="00180A6C" w:rsidRPr="00180A6C">
        <w:rPr>
          <w:rFonts w:eastAsia="MS PGothic"/>
          <w:b/>
          <w:noProof/>
          <w:color w:val="000000"/>
          <w:sz w:val="28"/>
          <w:szCs w:val="28"/>
          <w:rtl/>
          <w:lang w:eastAsia="en-US"/>
        </w:rPr>
        <w:drawing>
          <wp:inline distT="0" distB="0" distL="0" distR="0" wp14:anchorId="7689CDC8" wp14:editId="1FA86E1D">
            <wp:extent cx="1404518" cy="1696691"/>
            <wp:effectExtent l="0" t="0" r="5715" b="0"/>
            <wp:docPr id="5" name="Picture 5" descr="C:\Users\ASJ.co\Desktop\image defence\1562139982538dj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J.co\Desktop\image defence\1562139982538dj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15149" cy="1709534"/>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BD7313" w:rsidRPr="00F50038" w:rsidRDefault="00074C9C" w:rsidP="00BD7313">
      <w:pPr>
        <w:keepNext/>
        <w:keepLines/>
        <w:shd w:val="clear" w:color="auto" w:fill="FFFFFF"/>
        <w:spacing w:after="30" w:line="360" w:lineRule="auto"/>
        <w:ind w:right="1500"/>
        <w:outlineLvl w:val="2"/>
        <w:rPr>
          <w:rFonts w:eastAsiaTheme="majorEastAsia"/>
          <w:b/>
          <w:bCs/>
          <w:noProof/>
          <w:color w:val="000000" w:themeColor="text1"/>
        </w:rPr>
      </w:pPr>
      <w:r w:rsidRPr="00327F9B">
        <w:rPr>
          <w:rFonts w:eastAsia="MS PGothic"/>
          <w:b/>
          <w:color w:val="000000"/>
          <w:sz w:val="28"/>
          <w:szCs w:val="28"/>
        </w:rPr>
        <w:t xml:space="preserve">Title: </w:t>
      </w:r>
      <w:r w:rsidR="00BD7313" w:rsidRPr="00BD7313">
        <w:rPr>
          <w:rFonts w:eastAsiaTheme="majorEastAsia"/>
          <w:noProof/>
          <w:color w:val="000000" w:themeColor="text1"/>
          <w:sz w:val="28"/>
          <w:szCs w:val="28"/>
        </w:rPr>
        <w:t xml:space="preserve">Effectiveness of Cue-based Feeding </w:t>
      </w:r>
      <w:r w:rsidR="00BD7313" w:rsidRPr="00BD7313">
        <w:rPr>
          <w:rFonts w:eastAsia="Times New Roman"/>
          <w:noProof/>
          <w:color w:val="000000" w:themeColor="text1"/>
          <w:sz w:val="28"/>
          <w:szCs w:val="28"/>
        </w:rPr>
        <w:t>V</w:t>
      </w:r>
      <w:r w:rsidR="00BD7313" w:rsidRPr="00BD7313">
        <w:rPr>
          <w:rFonts w:eastAsiaTheme="majorEastAsia"/>
          <w:noProof/>
          <w:color w:val="000000" w:themeColor="text1"/>
          <w:sz w:val="28"/>
          <w:szCs w:val="28"/>
        </w:rPr>
        <w:t xml:space="preserve">ersus </w:t>
      </w:r>
      <w:hyperlink r:id="rId6" w:history="1">
        <w:r w:rsidR="00BD7313" w:rsidRPr="00BD7313">
          <w:rPr>
            <w:rFonts w:eastAsiaTheme="majorEastAsia"/>
            <w:noProof/>
            <w:color w:val="000000" w:themeColor="text1"/>
            <w:sz w:val="28"/>
            <w:szCs w:val="28"/>
          </w:rPr>
          <w:t>Scheduled Feeding</w:t>
        </w:r>
      </w:hyperlink>
      <w:r w:rsidR="00BD7313" w:rsidRPr="00BD7313" w:rsidDel="00B35EAB">
        <w:rPr>
          <w:rFonts w:eastAsiaTheme="majorEastAsia"/>
          <w:noProof/>
          <w:color w:val="000000" w:themeColor="text1"/>
          <w:sz w:val="28"/>
          <w:szCs w:val="28"/>
        </w:rPr>
        <w:t xml:space="preserve"> </w:t>
      </w:r>
      <w:r w:rsidR="00BD7313" w:rsidRPr="00BD7313">
        <w:rPr>
          <w:rFonts w:eastAsiaTheme="majorEastAsia"/>
          <w:noProof/>
          <w:color w:val="000000" w:themeColor="text1"/>
          <w:sz w:val="28"/>
          <w:szCs w:val="28"/>
        </w:rPr>
        <w:t>in Preterm Infants: Using Feeding Assessment Scales</w:t>
      </w:r>
      <w:r w:rsidR="00BD7313" w:rsidRPr="00F50038">
        <w:rPr>
          <w:rFonts w:eastAsiaTheme="majorEastAsia"/>
          <w:b/>
          <w:bCs/>
          <w:noProof/>
          <w:color w:val="000000" w:themeColor="text1"/>
        </w:rPr>
        <w:t xml:space="preserve"> </w:t>
      </w:r>
    </w:p>
    <w:p w:rsidR="00074C9C" w:rsidRPr="00327F9B" w:rsidRDefault="00074C9C" w:rsidP="00BD7313">
      <w:pPr>
        <w:rPr>
          <w:rFonts w:eastAsia="MS PGothic"/>
          <w:b/>
          <w:color w:val="000000"/>
          <w:sz w:val="28"/>
          <w:szCs w:val="28"/>
        </w:rPr>
      </w:pPr>
    </w:p>
    <w:p w:rsidR="005B4B32" w:rsidRDefault="00074C9C" w:rsidP="00D46AFF">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D46AFF">
        <w:rPr>
          <w:rFonts w:eastAsia="MS PGothic" w:hAnsi="Arial"/>
          <w:color w:val="000000"/>
        </w:rPr>
        <w:t>Faride kamran</w:t>
      </w:r>
    </w:p>
    <w:p w:rsidR="008E2F78" w:rsidRDefault="008E2F78" w:rsidP="003A3C5A">
      <w:pPr>
        <w:rPr>
          <w:rFonts w:eastAsia="MS PGothic" w:hAnsi="Arial"/>
          <w:color w:val="000000"/>
        </w:rPr>
      </w:pPr>
    </w:p>
    <w:p w:rsidR="00DC433A" w:rsidRPr="00327F9B" w:rsidRDefault="00DC433A" w:rsidP="00465675">
      <w:pPr>
        <w:rPr>
          <w:rFonts w:eastAsia="MS PGothic" w:hAnsi="Arial"/>
          <w:color w:val="000000"/>
        </w:rPr>
      </w:pPr>
      <w:r>
        <w:rPr>
          <w:b/>
          <w:sz w:val="28"/>
          <w:szCs w:val="28"/>
        </w:rPr>
        <w:t xml:space="preserve">                     </w:t>
      </w:r>
      <w:r w:rsidR="00D46AFF">
        <w:rPr>
          <w:rFonts w:eastAsia="MS PGothic" w:hAnsi="Arial"/>
          <w:color w:val="000000"/>
        </w:rPr>
        <w:t>Tehran</w:t>
      </w:r>
      <w:r w:rsidRPr="00327F9B">
        <w:rPr>
          <w:rFonts w:eastAsia="MS PGothic" w:hAnsi="Arial"/>
          <w:color w:val="000000"/>
        </w:rPr>
        <w:t xml:space="preserve"> University of Medi</w:t>
      </w:r>
      <w:r w:rsidR="00465675">
        <w:rPr>
          <w:rFonts w:eastAsia="MS PGothic" w:hAnsi="Arial"/>
          <w:color w:val="000000"/>
        </w:rPr>
        <w:t>cal Science</w:t>
      </w:r>
      <w:r w:rsidRPr="00327F9B">
        <w:rPr>
          <w:rFonts w:eastAsia="MS PGothic" w:hAnsi="Arial"/>
          <w:color w:val="000000"/>
        </w:rPr>
        <w:t xml:space="preserve">, </w:t>
      </w:r>
      <w:r w:rsidR="00465675">
        <w:rPr>
          <w:rFonts w:eastAsia="MS PGothic" w:hAnsi="Arial"/>
          <w:color w:val="000000"/>
        </w:rPr>
        <w:t>Iran</w:t>
      </w:r>
    </w:p>
    <w:p w:rsidR="00DC433A" w:rsidRPr="00D81022" w:rsidRDefault="00DC433A" w:rsidP="00DC433A">
      <w:pPr>
        <w:jc w:val="center"/>
        <w:rPr>
          <w:color w:val="0000FF"/>
          <w:sz w:val="36"/>
          <w:szCs w:val="36"/>
        </w:rPr>
      </w:pPr>
    </w:p>
    <w:p w:rsidR="003E6A5F" w:rsidRPr="003E6A5F" w:rsidRDefault="003E6A5F" w:rsidP="00092989">
      <w:pPr>
        <w:bidi/>
        <w:ind w:left="-450" w:firstLine="720"/>
        <w:jc w:val="right"/>
        <w:rPr>
          <w:rFonts w:eastAsia="Times New Roman"/>
          <w:noProof/>
          <w:color w:val="000000"/>
          <w:lang w:eastAsia="en-US" w:bidi="fa-IR"/>
        </w:rPr>
      </w:pPr>
      <w:r w:rsidRPr="003E6A5F">
        <w:rPr>
          <w:rFonts w:eastAsia="Times New Roman"/>
          <w:b/>
          <w:bCs/>
          <w:noProof/>
          <w:color w:val="000000"/>
          <w:lang w:eastAsia="en-US"/>
        </w:rPr>
        <w:t>Objectives</w:t>
      </w:r>
      <w:r w:rsidRPr="003E6A5F">
        <w:rPr>
          <w:rFonts w:eastAsia="Calibri"/>
          <w:color w:val="000000"/>
          <w:lang w:eastAsia="en-US"/>
        </w:rPr>
        <w:t>: Achievement of full oral feeding is a key factor in preparing an infant for discharge from the neonatal intensive care unit (NICU). The present study aimed at investigating the effectiveness of cue-based feeding in preterm infants</w:t>
      </w:r>
      <w:r w:rsidRPr="003E6A5F">
        <w:rPr>
          <w:rFonts w:eastAsia="Times New Roman"/>
          <w:noProof/>
          <w:color w:val="000000"/>
          <w:lang w:eastAsia="en-US"/>
        </w:rPr>
        <w:t xml:space="preserve">. </w:t>
      </w:r>
    </w:p>
    <w:p w:rsidR="003E6A5F" w:rsidRPr="003E6A5F" w:rsidRDefault="003E6A5F" w:rsidP="00092989">
      <w:pPr>
        <w:autoSpaceDE w:val="0"/>
        <w:autoSpaceDN w:val="0"/>
        <w:adjustRightInd w:val="0"/>
        <w:rPr>
          <w:rFonts w:eastAsia="Times New Roman"/>
          <w:noProof/>
          <w:color w:val="000000"/>
          <w:lang w:eastAsia="en-US"/>
        </w:rPr>
      </w:pPr>
      <w:r w:rsidRPr="003E6A5F">
        <w:rPr>
          <w:rFonts w:eastAsia="Times New Roman"/>
          <w:b/>
          <w:bCs/>
          <w:noProof/>
          <w:color w:val="000000"/>
          <w:lang w:eastAsia="en-US"/>
        </w:rPr>
        <w:t>Methods</w:t>
      </w:r>
      <w:r w:rsidRPr="003E6A5F">
        <w:rPr>
          <w:rFonts w:eastAsia="Times New Roman"/>
          <w:noProof/>
          <w:color w:val="000000"/>
          <w:lang w:eastAsia="en-US"/>
        </w:rPr>
        <w:t xml:space="preserve">: </w:t>
      </w:r>
      <w:r w:rsidRPr="003E6A5F">
        <w:rPr>
          <w:rFonts w:eastAsia="Calibri"/>
          <w:color w:val="000000"/>
          <w:lang w:eastAsia="en-US"/>
        </w:rPr>
        <w:t xml:space="preserve">A randomized, clinical trial study was designed to compare preterm infants &lt;34 weeks gestational age (GA) in the cue-based feeding group and the scheduled feeding group. All participants were evaluated by Preterm Infant Oral Feeding Readiness Assessment Scale (PIOFRAS) and Early Feeding Skill Assessment (EFS) in four different stages as follows: before the intervention, at the first oral feeding, at the full oral feeding, on the day of discharge. </w:t>
      </w:r>
    </w:p>
    <w:p w:rsidR="003E6A5F" w:rsidRPr="003E6A5F" w:rsidRDefault="003E6A5F" w:rsidP="00092989">
      <w:pPr>
        <w:autoSpaceDE w:val="0"/>
        <w:autoSpaceDN w:val="0"/>
        <w:adjustRightInd w:val="0"/>
        <w:rPr>
          <w:rFonts w:eastAsia="Times New Roman"/>
          <w:noProof/>
          <w:color w:val="000000"/>
          <w:lang w:eastAsia="en-US"/>
        </w:rPr>
      </w:pPr>
      <w:r w:rsidRPr="003E6A5F">
        <w:rPr>
          <w:rFonts w:eastAsia="Times New Roman"/>
          <w:b/>
          <w:bCs/>
          <w:noProof/>
          <w:color w:val="000000"/>
          <w:lang w:eastAsia="en-US"/>
        </w:rPr>
        <w:t>Results:</w:t>
      </w:r>
      <w:r w:rsidRPr="003E6A5F">
        <w:rPr>
          <w:rFonts w:eastAsia="Times New Roman"/>
          <w:noProof/>
          <w:color w:val="000000"/>
          <w:lang w:eastAsia="en-US"/>
        </w:rPr>
        <w:t xml:space="preserve"> </w:t>
      </w:r>
      <w:r w:rsidRPr="003E6A5F">
        <w:rPr>
          <w:rFonts w:eastAsia="Calibri"/>
          <w:color w:val="000000"/>
          <w:lang w:eastAsia="en-US"/>
        </w:rPr>
        <w:t xml:space="preserve">40 preterm infants (n =20 cue-based feeding group and n = 20 scheduled feeding group) were included. There was no difference in the distribution of gender, gestational age, birth weight between the two groups. The </w:t>
      </w:r>
      <w:r w:rsidRPr="003E6A5F">
        <w:rPr>
          <w:rFonts w:eastAsia="Times New Roman"/>
          <w:noProof/>
          <w:color w:val="000000"/>
          <w:lang w:eastAsia="en-US"/>
        </w:rPr>
        <w:t>postmenstrual age (</w:t>
      </w:r>
      <w:r w:rsidRPr="003E6A5F">
        <w:rPr>
          <w:rFonts w:eastAsia="Calibri"/>
          <w:color w:val="000000"/>
          <w:lang w:eastAsia="en-US"/>
        </w:rPr>
        <w:t>PMA) at the first oral feeding, at full oral feeding, and the day of discharge were statistically lower in the cue-based feeding group than the scheduled feeding group. The cue-based feeding group achieved</w:t>
      </w:r>
      <w:r w:rsidRPr="003E6A5F">
        <w:rPr>
          <w:rFonts w:eastAsia="Calibri"/>
          <w:color w:val="000000"/>
          <w:rtl/>
          <w:lang w:eastAsia="en-US"/>
        </w:rPr>
        <w:t xml:space="preserve"> </w:t>
      </w:r>
      <w:r w:rsidRPr="003E6A5F">
        <w:rPr>
          <w:rFonts w:eastAsia="Calibri"/>
          <w:color w:val="000000"/>
          <w:lang w:eastAsia="en-US"/>
        </w:rPr>
        <w:t>full oral feeding on average 2.95 days sooner (3.55± 1.27 vs 6.50±2.1) and infants were discharged on average 11.5 days earlier (15.25±5.1 vs 26.30±8.4).</w:t>
      </w:r>
    </w:p>
    <w:p w:rsidR="003E6A5F" w:rsidRPr="003E6A5F" w:rsidRDefault="003E6A5F" w:rsidP="00092989">
      <w:pPr>
        <w:autoSpaceDE w:val="0"/>
        <w:autoSpaceDN w:val="0"/>
        <w:adjustRightInd w:val="0"/>
        <w:rPr>
          <w:rFonts w:eastAsia="Calibri"/>
          <w:color w:val="000000"/>
          <w:lang w:eastAsia="en-US"/>
        </w:rPr>
      </w:pPr>
      <w:r w:rsidRPr="003E6A5F">
        <w:rPr>
          <w:rFonts w:eastAsia="Times New Roman"/>
          <w:b/>
          <w:bCs/>
          <w:noProof/>
          <w:color w:val="000000"/>
          <w:lang w:eastAsia="en-US"/>
        </w:rPr>
        <w:t xml:space="preserve">Conclusion: </w:t>
      </w:r>
      <w:r w:rsidRPr="003E6A5F">
        <w:rPr>
          <w:rFonts w:eastAsia="Times New Roman"/>
          <w:bCs/>
          <w:noProof/>
          <w:color w:val="000000"/>
          <w:lang w:eastAsia="en-US"/>
        </w:rPr>
        <w:t>Cue</w:t>
      </w:r>
      <w:r w:rsidRPr="003E6A5F">
        <w:rPr>
          <w:rFonts w:eastAsia="Calibri"/>
          <w:color w:val="000000"/>
          <w:lang w:eastAsia="en-US"/>
        </w:rPr>
        <w:t>-based feeding is an effective and safe approach in the setting of Iran’s NICU that results in preterm infant’s early achievement of oral feeding and consequently shorter hospitalization.</w:t>
      </w:r>
    </w:p>
    <w:p w:rsidR="00092989" w:rsidRPr="00F50038" w:rsidRDefault="00D12933" w:rsidP="00D12933">
      <w:pPr>
        <w:rPr>
          <w:color w:val="000000" w:themeColor="text1"/>
        </w:rPr>
      </w:pPr>
      <w:r>
        <w:rPr>
          <w:rFonts w:eastAsia="Calibri"/>
          <w:b/>
          <w:bCs/>
          <w:color w:val="000000"/>
          <w:lang w:eastAsia="en-US"/>
        </w:rPr>
        <w:t>Keyword</w:t>
      </w:r>
      <w:r w:rsidR="00092989">
        <w:rPr>
          <w:rFonts w:eastAsia="Times New Roman"/>
          <w:b/>
          <w:bCs/>
          <w:noProof/>
          <w:color w:val="000000"/>
          <w:lang w:eastAsia="en-US"/>
        </w:rPr>
        <w:t xml:space="preserve">: </w:t>
      </w:r>
      <w:r w:rsidR="00092989" w:rsidRPr="00F50038">
        <w:rPr>
          <w:color w:val="000000" w:themeColor="text1"/>
        </w:rPr>
        <w:t xml:space="preserve">Cue-based Feeding, Neonatal </w:t>
      </w:r>
      <w:r w:rsidR="00092989">
        <w:rPr>
          <w:color w:val="000000" w:themeColor="text1"/>
        </w:rPr>
        <w:t>I</w:t>
      </w:r>
      <w:r w:rsidR="00092989" w:rsidRPr="00F50038">
        <w:rPr>
          <w:color w:val="000000" w:themeColor="text1"/>
        </w:rPr>
        <w:t xml:space="preserve">ntensive </w:t>
      </w:r>
      <w:r w:rsidR="00092989">
        <w:rPr>
          <w:color w:val="000000" w:themeColor="text1"/>
        </w:rPr>
        <w:t>C</w:t>
      </w:r>
      <w:r w:rsidR="00092989" w:rsidRPr="00F50038">
        <w:rPr>
          <w:color w:val="000000" w:themeColor="text1"/>
        </w:rPr>
        <w:t xml:space="preserve">are </w:t>
      </w:r>
      <w:r w:rsidR="00092989">
        <w:rPr>
          <w:color w:val="000000" w:themeColor="text1"/>
        </w:rPr>
        <w:t>U</w:t>
      </w:r>
      <w:r w:rsidR="00092989" w:rsidRPr="00F50038">
        <w:rPr>
          <w:color w:val="000000" w:themeColor="text1"/>
        </w:rPr>
        <w:t>nit, Oral</w:t>
      </w:r>
      <w:r w:rsidR="00092989" w:rsidRPr="00092989">
        <w:rPr>
          <w:color w:val="000000" w:themeColor="text1"/>
        </w:rPr>
        <w:t xml:space="preserve"> </w:t>
      </w:r>
      <w:r w:rsidR="00092989" w:rsidRPr="00F50038">
        <w:rPr>
          <w:color w:val="000000" w:themeColor="text1"/>
        </w:rPr>
        <w:t xml:space="preserve">Feeding, Preterm Infant, </w:t>
      </w:r>
      <w:hyperlink r:id="rId7" w:history="1">
        <w:r w:rsidR="00092989" w:rsidRPr="00F50038">
          <w:rPr>
            <w:color w:val="000000" w:themeColor="text1"/>
          </w:rPr>
          <w:t>Scheduled Feeding</w:t>
        </w:r>
      </w:hyperlink>
      <w:r w:rsidR="00092989" w:rsidRPr="00F50038">
        <w:rPr>
          <w:color w:val="000000" w:themeColor="text1"/>
        </w:rPr>
        <w:t xml:space="preserve"> </w:t>
      </w:r>
    </w:p>
    <w:p w:rsidR="003E6A5F" w:rsidRPr="003E6A5F" w:rsidRDefault="003E6A5F" w:rsidP="00092989">
      <w:pPr>
        <w:tabs>
          <w:tab w:val="left" w:pos="4041"/>
          <w:tab w:val="right" w:pos="9360"/>
        </w:tabs>
        <w:bidi/>
        <w:spacing w:line="480" w:lineRule="auto"/>
        <w:ind w:left="-450" w:firstLine="720"/>
        <w:rPr>
          <w:rFonts w:eastAsia="Times New Roman"/>
          <w:b/>
          <w:bCs/>
          <w:color w:val="000000"/>
          <w:rtl/>
          <w:lang w:eastAsia="en-US" w:bidi="fa-IR"/>
        </w:rPr>
      </w:pP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25733F" w:rsidRPr="00E91A73" w:rsidRDefault="0025733F" w:rsidP="0025733F">
      <w:pPr>
        <w:jc w:val="both"/>
        <w:rPr>
          <w:rFonts w:eastAsia="MS PGothic" w:hAnsi="Arial"/>
          <w:color w:val="000000"/>
        </w:rPr>
      </w:pPr>
      <w:r w:rsidRPr="00E91A73">
        <w:rPr>
          <w:rFonts w:eastAsia="MS PGothic" w:hAnsi="Arial"/>
          <w:color w:val="000000"/>
        </w:rPr>
        <w:t>I has comp</w:t>
      </w:r>
      <w:r w:rsidR="001C21F2" w:rsidRPr="00E91A73">
        <w:rPr>
          <w:rFonts w:eastAsia="MS PGothic" w:hAnsi="Arial"/>
          <w:color w:val="000000"/>
        </w:rPr>
        <w:t>leted his bachelor</w:t>
      </w:r>
      <w:r w:rsidR="00722CEE" w:rsidRPr="00E91A73">
        <w:rPr>
          <w:rFonts w:eastAsia="MS PGothic" w:hAnsi="Arial"/>
          <w:color w:val="000000"/>
        </w:rPr>
        <w:t xml:space="preserve"> in major of </w:t>
      </w:r>
      <w:r w:rsidR="009A018C" w:rsidRPr="00E91A73">
        <w:rPr>
          <w:rFonts w:eastAsia="MS PGothic" w:hAnsi="Arial"/>
          <w:color w:val="000000"/>
        </w:rPr>
        <w:t>speech and language pathology</w:t>
      </w:r>
      <w:r w:rsidR="001C21F2" w:rsidRPr="00E91A73">
        <w:rPr>
          <w:rFonts w:eastAsia="MS PGothic" w:hAnsi="Arial"/>
          <w:color w:val="000000"/>
        </w:rPr>
        <w:t xml:space="preserve"> at the age of 28 years from Semnan University of medical science, Iran </w:t>
      </w:r>
      <w:r w:rsidR="00615F45" w:rsidRPr="00E91A73">
        <w:rPr>
          <w:rFonts w:eastAsia="MS PGothic" w:hAnsi="Arial"/>
          <w:color w:val="000000"/>
        </w:rPr>
        <w:t xml:space="preserve">and master studies from </w:t>
      </w:r>
      <w:r w:rsidR="00615F45">
        <w:rPr>
          <w:rFonts w:eastAsia="MS PGothic" w:hAnsi="Arial"/>
          <w:color w:val="000000"/>
        </w:rPr>
        <w:t>Tehran</w:t>
      </w:r>
      <w:r w:rsidR="00615F45" w:rsidRPr="00327F9B">
        <w:rPr>
          <w:rFonts w:eastAsia="MS PGothic" w:hAnsi="Arial"/>
          <w:color w:val="000000"/>
        </w:rPr>
        <w:t xml:space="preserve"> University of Medi</w:t>
      </w:r>
      <w:r w:rsidR="00615F45">
        <w:rPr>
          <w:rFonts w:eastAsia="MS PGothic" w:hAnsi="Arial"/>
          <w:color w:val="000000"/>
        </w:rPr>
        <w:t>cal Science</w:t>
      </w:r>
      <w:r w:rsidR="00615F45" w:rsidRPr="00327F9B">
        <w:rPr>
          <w:rFonts w:eastAsia="MS PGothic" w:hAnsi="Arial"/>
          <w:color w:val="000000"/>
        </w:rPr>
        <w:t xml:space="preserve">, </w:t>
      </w:r>
      <w:r w:rsidR="00615F45">
        <w:rPr>
          <w:rFonts w:eastAsia="MS PGothic" w:hAnsi="Arial"/>
          <w:color w:val="000000"/>
        </w:rPr>
        <w:t>Iran</w:t>
      </w:r>
      <w:r w:rsidR="00143FBD">
        <w:rPr>
          <w:rFonts w:eastAsia="MS PGothic" w:hAnsi="Arial"/>
          <w:color w:val="000000"/>
        </w:rPr>
        <w:t xml:space="preserve">. My field of study is </w:t>
      </w:r>
      <w:r w:rsidR="00722CEE">
        <w:rPr>
          <w:rFonts w:eastAsia="MS PGothic" w:hAnsi="Arial"/>
          <w:color w:val="000000"/>
        </w:rPr>
        <w:t xml:space="preserve"> interventions </w:t>
      </w:r>
      <w:r w:rsidR="000B148F">
        <w:rPr>
          <w:rFonts w:eastAsia="MS PGothic" w:hAnsi="Arial"/>
          <w:color w:val="000000"/>
        </w:rPr>
        <w:t xml:space="preserve">of </w:t>
      </w:r>
      <w:bookmarkStart w:id="0" w:name="_GoBack"/>
      <w:bookmarkEnd w:id="0"/>
      <w:r w:rsidR="00143FBD">
        <w:rPr>
          <w:rFonts w:eastAsia="MS PGothic" w:hAnsi="Arial"/>
          <w:color w:val="000000"/>
        </w:rPr>
        <w:t>f</w:t>
      </w:r>
      <w:r w:rsidR="00722CEE">
        <w:rPr>
          <w:rFonts w:eastAsia="MS PGothic" w:hAnsi="Arial"/>
          <w:color w:val="000000"/>
        </w:rPr>
        <w:t>eeding and swallowing in infants.</w:t>
      </w:r>
    </w:p>
    <w:p w:rsidR="007D233A" w:rsidRDefault="007D233A" w:rsidP="007D233A"/>
    <w:p w:rsidR="007D233A" w:rsidRDefault="008E5190" w:rsidP="009A018C">
      <w:pPr>
        <w:jc w:val="both"/>
        <w:rPr>
          <w:b/>
        </w:rPr>
      </w:pPr>
      <w:r>
        <w:rPr>
          <w:b/>
        </w:rPr>
        <w:t>Mail id</w:t>
      </w:r>
      <w:r w:rsidR="009A018C">
        <w:rPr>
          <w:b/>
        </w:rPr>
        <w:t xml:space="preserve">: </w:t>
      </w:r>
      <w:hyperlink r:id="rId8" w:history="1">
        <w:r w:rsidR="009A018C" w:rsidRPr="00E91A73">
          <w:rPr>
            <w:rFonts w:eastAsia="MS PGothic" w:hAnsi="Arial"/>
            <w:color w:val="000000"/>
          </w:rPr>
          <w:t>F.kamran90@yahoo.com</w:t>
        </w:r>
      </w:hyperlink>
      <w:r w:rsidR="009A018C">
        <w:rPr>
          <w:b/>
        </w:rPr>
        <w:t xml:space="preserve">    </w:t>
      </w:r>
      <w:r w:rsidR="009A018C" w:rsidRPr="00E91A73">
        <w:rPr>
          <w:rFonts w:eastAsia="MS PGothic" w:hAnsi="Arial"/>
          <w:color w:val="000000"/>
        </w:rPr>
        <w:t>or   F-kamran@razi.tums.ac.ir</w:t>
      </w:r>
    </w:p>
    <w:p w:rsidR="005E4516" w:rsidRDefault="005E4516" w:rsidP="00363668">
      <w:pPr>
        <w:jc w:val="both"/>
        <w:rPr>
          <w:b/>
        </w:rPr>
      </w:pPr>
      <w:r>
        <w:rPr>
          <w:b/>
        </w:rPr>
        <w:t>Contact number</w:t>
      </w:r>
      <w:r w:rsidR="009A018C">
        <w:rPr>
          <w:b/>
        </w:rPr>
        <w:t xml:space="preserve">: </w:t>
      </w:r>
      <w:r w:rsidR="009A018C" w:rsidRPr="00E91A73">
        <w:rPr>
          <w:rFonts w:eastAsia="MS PGothic" w:hAnsi="Arial"/>
          <w:color w:val="000000"/>
        </w:rPr>
        <w:t>989177622352</w:t>
      </w:r>
    </w:p>
    <w:p w:rsidR="00136D9D" w:rsidRPr="00E91A73" w:rsidRDefault="00136D9D" w:rsidP="00E91A73">
      <w:pPr>
        <w:jc w:val="both"/>
        <w:rPr>
          <w:rFonts w:eastAsia="MS PGothic" w:hAnsi="Arial"/>
          <w:color w:val="000000"/>
        </w:rPr>
      </w:pPr>
      <w:r w:rsidRPr="00E91A73">
        <w:rPr>
          <w:rFonts w:eastAsia="MS PGothic" w:hAnsi="Arial"/>
          <w:color w:val="000000"/>
        </w:rPr>
        <w:t>Oral</w:t>
      </w:r>
      <w:r w:rsidR="00140568" w:rsidRPr="00E91A73">
        <w:rPr>
          <w:rFonts w:eastAsia="MS PGothic" w:hAnsi="Arial"/>
          <w:color w:val="000000"/>
        </w:rPr>
        <w:t xml:space="preserve"> Presentation</w:t>
      </w:r>
    </w:p>
    <w:sectPr w:rsidR="00136D9D" w:rsidRPr="00E91A73"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12CCA"/>
    <w:rsid w:val="0002392A"/>
    <w:rsid w:val="00074C9C"/>
    <w:rsid w:val="00092989"/>
    <w:rsid w:val="000B148F"/>
    <w:rsid w:val="000D6718"/>
    <w:rsid w:val="00136D9D"/>
    <w:rsid w:val="00140568"/>
    <w:rsid w:val="00143FBD"/>
    <w:rsid w:val="00180A6C"/>
    <w:rsid w:val="001B06AE"/>
    <w:rsid w:val="001C21F2"/>
    <w:rsid w:val="0025733F"/>
    <w:rsid w:val="00265E72"/>
    <w:rsid w:val="002C359D"/>
    <w:rsid w:val="002C3D9B"/>
    <w:rsid w:val="0031455A"/>
    <w:rsid w:val="00363668"/>
    <w:rsid w:val="00384441"/>
    <w:rsid w:val="003A3C5A"/>
    <w:rsid w:val="003A7112"/>
    <w:rsid w:val="003E6A5F"/>
    <w:rsid w:val="00437503"/>
    <w:rsid w:val="00441F91"/>
    <w:rsid w:val="00465675"/>
    <w:rsid w:val="004E62DD"/>
    <w:rsid w:val="004F0441"/>
    <w:rsid w:val="005B4B32"/>
    <w:rsid w:val="005E4516"/>
    <w:rsid w:val="00615F45"/>
    <w:rsid w:val="00654259"/>
    <w:rsid w:val="00722CEE"/>
    <w:rsid w:val="007341F9"/>
    <w:rsid w:val="0078229D"/>
    <w:rsid w:val="007B0D32"/>
    <w:rsid w:val="007D00E7"/>
    <w:rsid w:val="007D233A"/>
    <w:rsid w:val="007D5AD0"/>
    <w:rsid w:val="007D65C7"/>
    <w:rsid w:val="008747F9"/>
    <w:rsid w:val="008A667E"/>
    <w:rsid w:val="008D3A94"/>
    <w:rsid w:val="008E2F78"/>
    <w:rsid w:val="008E5190"/>
    <w:rsid w:val="008E737B"/>
    <w:rsid w:val="00912F54"/>
    <w:rsid w:val="009A018C"/>
    <w:rsid w:val="009E52D9"/>
    <w:rsid w:val="00A4183E"/>
    <w:rsid w:val="00A50C1E"/>
    <w:rsid w:val="00A55744"/>
    <w:rsid w:val="00A67093"/>
    <w:rsid w:val="00AA5A30"/>
    <w:rsid w:val="00AC5543"/>
    <w:rsid w:val="00AF61EB"/>
    <w:rsid w:val="00B03DB8"/>
    <w:rsid w:val="00B17C38"/>
    <w:rsid w:val="00B44878"/>
    <w:rsid w:val="00B8710A"/>
    <w:rsid w:val="00BA2068"/>
    <w:rsid w:val="00BD7313"/>
    <w:rsid w:val="00BE28B2"/>
    <w:rsid w:val="00C07C5B"/>
    <w:rsid w:val="00C578FF"/>
    <w:rsid w:val="00C67966"/>
    <w:rsid w:val="00C828BF"/>
    <w:rsid w:val="00CE6677"/>
    <w:rsid w:val="00D12933"/>
    <w:rsid w:val="00D409EC"/>
    <w:rsid w:val="00D46AFF"/>
    <w:rsid w:val="00D605F8"/>
    <w:rsid w:val="00D7304E"/>
    <w:rsid w:val="00D734FE"/>
    <w:rsid w:val="00D841B1"/>
    <w:rsid w:val="00DC433A"/>
    <w:rsid w:val="00DD40A4"/>
    <w:rsid w:val="00E63452"/>
    <w:rsid w:val="00E70832"/>
    <w:rsid w:val="00E91A73"/>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C972D3-A9A9-4F08-A918-9360AFE85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unhideWhenUsed/>
    <w:rsid w:val="009A01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kamran90@yahoo.com" TargetMode="External"/><Relationship Id="rId3" Type="http://schemas.openxmlformats.org/officeDocument/2006/relationships/webSettings" Target="webSettings.xml"/><Relationship Id="rId7" Type="http://schemas.openxmlformats.org/officeDocument/2006/relationships/hyperlink" Target="http://broncoscholar.library.cpp.edu/handle/10211.3/19960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roncoscholar.library.cpp.edu/handle/10211.3/199608"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369</Words>
  <Characters>2109</Characters>
  <Application>Microsoft Office Word</Application>
  <DocSecurity>0</DocSecurity>
  <Lines>17</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Title: Effectiveness of Cue-based Feeding Versus Scheduled Feeding in Preterm In</vt:lpstr>
    </vt:vector>
  </TitlesOfParts>
  <Company>Microsoft</Company>
  <LinksUpToDate>false</LinksUpToDate>
  <CharactersWithSpaces>2474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ASJ.co</cp:lastModifiedBy>
  <cp:revision>3</cp:revision>
  <dcterms:created xsi:type="dcterms:W3CDTF">2019-11-13T14:13:00Z</dcterms:created>
  <dcterms:modified xsi:type="dcterms:W3CDTF">2019-11-13T14:36:00Z</dcterms:modified>
</cp:coreProperties>
</file>