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4D8C" w:rsidRDefault="00864D8C" w:rsidP="00864D8C">
      <w:pPr>
        <w:pStyle w:val="Heading1"/>
        <w:rPr>
          <w:rStyle w:val="nlmarticle-title"/>
        </w:rPr>
      </w:pPr>
      <w:r w:rsidRPr="00864D8C">
        <w:rPr>
          <w:rStyle w:val="nlmarticle-title"/>
        </w:rPr>
        <w:t>Incidence, risk factors and outcome of acute kidney injury in critically ill children – a developing country perspective</w:t>
      </w:r>
    </w:p>
    <w:p w:rsidR="00864D8C" w:rsidRPr="00864D8C" w:rsidRDefault="00864D8C" w:rsidP="00864D8C">
      <w:bookmarkStart w:id="0" w:name="_GoBack"/>
      <w:bookmarkEnd w:id="0"/>
    </w:p>
    <w:p w:rsidR="00864D8C" w:rsidRPr="00EA4BDC" w:rsidRDefault="00864D8C" w:rsidP="00864D8C">
      <w:pPr>
        <w:spacing w:line="360" w:lineRule="auto"/>
        <w:jc w:val="both"/>
        <w:rPr>
          <w:rFonts w:ascii="Arial" w:hAnsi="Arial" w:cs="Arial"/>
          <w:color w:val="333333"/>
          <w:sz w:val="14"/>
          <w:szCs w:val="24"/>
        </w:rPr>
      </w:pPr>
      <w:hyperlink r:id="rId5" w:history="1">
        <w:r w:rsidRPr="00EA4BDC">
          <w:rPr>
            <w:rStyle w:val="Hyperlink"/>
            <w:rFonts w:ascii="Arial" w:hAnsi="Arial" w:cs="Arial"/>
            <w:b/>
            <w:bCs/>
            <w:color w:val="10147E"/>
            <w:sz w:val="14"/>
            <w:szCs w:val="23"/>
          </w:rPr>
          <w:t>Rashi Singal Rustagi</w:t>
        </w:r>
      </w:hyperlink>
      <w:r w:rsidRPr="00EA4BDC">
        <w:rPr>
          <w:rStyle w:val="contribdegrees"/>
          <w:rFonts w:ascii="Arial" w:hAnsi="Arial" w:cs="Arial"/>
          <w:color w:val="333333"/>
          <w:sz w:val="12"/>
        </w:rPr>
        <w:t xml:space="preserve">, </w:t>
      </w:r>
      <w:hyperlink r:id="rId6" w:history="1">
        <w:r w:rsidRPr="00EA4BDC">
          <w:rPr>
            <w:rStyle w:val="Hyperlink"/>
            <w:rFonts w:ascii="Arial" w:hAnsi="Arial" w:cs="Arial"/>
            <w:color w:val="10147E"/>
            <w:sz w:val="14"/>
            <w:szCs w:val="23"/>
          </w:rPr>
          <w:t>Kamaldeep Arora</w:t>
        </w:r>
      </w:hyperlink>
      <w:r w:rsidRPr="00EA4BDC">
        <w:rPr>
          <w:rStyle w:val="contribdegrees"/>
          <w:rFonts w:ascii="Arial" w:hAnsi="Arial" w:cs="Arial"/>
          <w:color w:val="333333"/>
          <w:sz w:val="12"/>
        </w:rPr>
        <w:t xml:space="preserve">, </w:t>
      </w:r>
      <w:hyperlink r:id="rId7" w:history="1">
        <w:r w:rsidRPr="00EA4BDC">
          <w:rPr>
            <w:rStyle w:val="Hyperlink"/>
            <w:rFonts w:ascii="Arial" w:hAnsi="Arial" w:cs="Arial"/>
            <w:color w:val="10147E"/>
            <w:sz w:val="14"/>
            <w:szCs w:val="23"/>
          </w:rPr>
          <w:t>Rashmi Ranjan Das</w:t>
        </w:r>
      </w:hyperlink>
      <w:r w:rsidRPr="00EA4BDC">
        <w:rPr>
          <w:rStyle w:val="contribdegrees"/>
          <w:rFonts w:ascii="Arial" w:hAnsi="Arial" w:cs="Arial"/>
          <w:color w:val="333333"/>
          <w:sz w:val="12"/>
        </w:rPr>
        <w:t xml:space="preserve">, </w:t>
      </w:r>
      <w:hyperlink r:id="rId8" w:history="1">
        <w:r w:rsidRPr="00EA4BDC">
          <w:rPr>
            <w:rStyle w:val="Hyperlink"/>
            <w:rFonts w:ascii="Arial" w:hAnsi="Arial" w:cs="Arial"/>
            <w:color w:val="10147E"/>
            <w:sz w:val="14"/>
            <w:szCs w:val="23"/>
          </w:rPr>
          <w:t>Puneet Aulakh Pooni</w:t>
        </w:r>
      </w:hyperlink>
      <w:r w:rsidRPr="00EA4BDC">
        <w:rPr>
          <w:rStyle w:val="contribdegrees"/>
          <w:rFonts w:ascii="Arial" w:hAnsi="Arial" w:cs="Arial"/>
          <w:color w:val="333333"/>
          <w:sz w:val="12"/>
        </w:rPr>
        <w:t> &amp;</w:t>
      </w:r>
      <w:hyperlink r:id="rId9" w:history="1">
        <w:r w:rsidRPr="00EA4BDC">
          <w:rPr>
            <w:rStyle w:val="Hyperlink"/>
            <w:rFonts w:ascii="Arial" w:hAnsi="Arial" w:cs="Arial"/>
            <w:color w:val="10147E"/>
            <w:sz w:val="14"/>
            <w:szCs w:val="23"/>
          </w:rPr>
          <w:t>Daljit Singh</w:t>
        </w:r>
      </w:hyperlink>
    </w:p>
    <w:p w:rsidR="00864D8C" w:rsidRPr="00EA4BDC" w:rsidRDefault="00864D8C" w:rsidP="00864D8C">
      <w:pPr>
        <w:pStyle w:val="NormalWeb"/>
        <w:spacing w:before="240" w:beforeAutospacing="0" w:after="240" w:afterAutospacing="0" w:line="360" w:lineRule="auto"/>
        <w:jc w:val="both"/>
        <w:rPr>
          <w:rFonts w:ascii="Arial" w:hAnsi="Arial" w:cs="Arial"/>
          <w:color w:val="333333"/>
          <w:sz w:val="14"/>
        </w:rPr>
      </w:pPr>
      <w:bookmarkStart w:id="1" w:name="abstract"/>
      <w:bookmarkEnd w:id="1"/>
      <w:r w:rsidRPr="00EA4BDC">
        <w:rPr>
          <w:rFonts w:ascii="Arial" w:hAnsi="Arial" w:cs="Arial"/>
          <w:b/>
          <w:bCs/>
          <w:color w:val="333333"/>
          <w:sz w:val="14"/>
        </w:rPr>
        <w:t>Background:</w:t>
      </w:r>
      <w:r w:rsidRPr="00EA4BDC">
        <w:rPr>
          <w:rFonts w:ascii="Arial" w:hAnsi="Arial" w:cs="Arial"/>
          <w:color w:val="333333"/>
          <w:sz w:val="14"/>
        </w:rPr>
        <w:t> Acute kidney injury (AKI) is common in critically ill children and is associated with poor outcome.</w:t>
      </w:r>
    </w:p>
    <w:p w:rsidR="00864D8C" w:rsidRPr="00EA4BDC" w:rsidRDefault="00864D8C" w:rsidP="00864D8C">
      <w:pPr>
        <w:pStyle w:val="NormalWeb"/>
        <w:spacing w:before="240" w:beforeAutospacing="0" w:after="240" w:afterAutospacing="0" w:line="360" w:lineRule="auto"/>
        <w:jc w:val="both"/>
        <w:rPr>
          <w:rFonts w:ascii="Arial" w:hAnsi="Arial" w:cs="Arial"/>
          <w:color w:val="333333"/>
          <w:sz w:val="14"/>
        </w:rPr>
      </w:pPr>
      <w:r w:rsidRPr="00EA4BDC">
        <w:rPr>
          <w:rFonts w:ascii="Arial" w:hAnsi="Arial" w:cs="Arial"/>
          <w:b/>
          <w:bCs/>
          <w:color w:val="333333"/>
          <w:sz w:val="14"/>
        </w:rPr>
        <w:t>Objective:</w:t>
      </w:r>
      <w:r w:rsidRPr="00EA4BDC">
        <w:rPr>
          <w:rFonts w:ascii="Arial" w:hAnsi="Arial" w:cs="Arial"/>
          <w:color w:val="333333"/>
          <w:sz w:val="14"/>
        </w:rPr>
        <w:t> To study the incidence, risk factors and outcome o</w:t>
      </w:r>
      <w:r>
        <w:rPr>
          <w:rFonts w:ascii="Arial" w:hAnsi="Arial" w:cs="Arial"/>
          <w:color w:val="333333"/>
          <w:sz w:val="14"/>
        </w:rPr>
        <w:t>f AKI in children admitted to p</w:t>
      </w:r>
      <w:r w:rsidRPr="00EA4BDC">
        <w:rPr>
          <w:rFonts w:ascii="Arial" w:hAnsi="Arial" w:cs="Arial"/>
          <w:color w:val="333333"/>
          <w:sz w:val="14"/>
        </w:rPr>
        <w:t>ediatric intensive care unit (PICU) of a developing country.</w:t>
      </w:r>
    </w:p>
    <w:p w:rsidR="00864D8C" w:rsidRPr="00FB2593" w:rsidRDefault="00864D8C" w:rsidP="00864D8C">
      <w:pPr>
        <w:pStyle w:val="NormalWeb"/>
        <w:spacing w:before="240" w:beforeAutospacing="0" w:after="240" w:afterAutospacing="0" w:line="360" w:lineRule="auto"/>
        <w:jc w:val="both"/>
        <w:rPr>
          <w:rFonts w:ascii="Arial" w:hAnsi="Arial" w:cs="Arial"/>
          <w:color w:val="333333"/>
          <w:sz w:val="14"/>
          <w:szCs w:val="26"/>
        </w:rPr>
      </w:pPr>
      <w:r w:rsidRPr="00FB2593">
        <w:rPr>
          <w:rFonts w:ascii="Arial" w:hAnsi="Arial" w:cs="Arial"/>
          <w:b/>
          <w:bCs/>
          <w:color w:val="333333"/>
          <w:sz w:val="14"/>
          <w:szCs w:val="26"/>
        </w:rPr>
        <w:t>Materials and Methods:</w:t>
      </w:r>
      <w:r w:rsidRPr="00FB2593">
        <w:rPr>
          <w:rFonts w:ascii="Arial" w:hAnsi="Arial" w:cs="Arial"/>
          <w:color w:val="333333"/>
          <w:sz w:val="14"/>
          <w:szCs w:val="26"/>
        </w:rPr>
        <w:t> This prospective observational study was conducted in a tertiary care PICU over one-year period. Critically ill children aged from 2 months to 18 years were included. RIFLE criteria based on GFR, and urine output was used for categorization.</w:t>
      </w:r>
    </w:p>
    <w:p w:rsidR="00864D8C" w:rsidRPr="00FB2593" w:rsidRDefault="00864D8C" w:rsidP="00864D8C">
      <w:pPr>
        <w:pStyle w:val="NormalWeb"/>
        <w:spacing w:before="240" w:beforeAutospacing="0" w:after="240" w:afterAutospacing="0" w:line="360" w:lineRule="auto"/>
        <w:jc w:val="both"/>
        <w:rPr>
          <w:rFonts w:ascii="Arial" w:hAnsi="Arial" w:cs="Arial"/>
          <w:color w:val="333333"/>
          <w:sz w:val="14"/>
          <w:szCs w:val="26"/>
        </w:rPr>
      </w:pPr>
      <w:r w:rsidRPr="00FB2593">
        <w:rPr>
          <w:rFonts w:ascii="Arial" w:hAnsi="Arial" w:cs="Arial"/>
          <w:b/>
          <w:bCs/>
          <w:color w:val="333333"/>
          <w:sz w:val="14"/>
          <w:szCs w:val="26"/>
        </w:rPr>
        <w:t>Results:</w:t>
      </w:r>
      <w:r w:rsidRPr="00FB2593">
        <w:rPr>
          <w:rFonts w:ascii="Arial" w:hAnsi="Arial" w:cs="Arial"/>
          <w:color w:val="333333"/>
          <w:sz w:val="14"/>
          <w:szCs w:val="26"/>
        </w:rPr>
        <w:t xml:space="preserve"> Of 380 children, 53 children (14%) had AKI (met any of the RIFLE criteria). The most common diagnoses underlying AKI were acute lower respiratory tract infection, CNS illness and severe dehydration. Subjects with AKI had a higher PRISM score (&gt;10) at admission, longer duration of stay and high mortality. Significant risk factors for AKI following multivariate analysis were: age 1–5, PRISM score (&gt;10) at admission, shock, infection, </w:t>
      </w:r>
      <w:r w:rsidRPr="00FB2593">
        <w:rPr>
          <w:rFonts w:ascii="Arial" w:hAnsi="Arial" w:cs="Arial"/>
          <w:color w:val="333333"/>
          <w:sz w:val="12"/>
          <w:szCs w:val="26"/>
        </w:rPr>
        <w:t>thrombocytopenia</w:t>
      </w:r>
      <w:r w:rsidRPr="00FB2593">
        <w:rPr>
          <w:rFonts w:ascii="Arial" w:hAnsi="Arial" w:cs="Arial"/>
          <w:color w:val="333333"/>
          <w:sz w:val="14"/>
          <w:szCs w:val="26"/>
        </w:rPr>
        <w:t>, hypo-albuminaemia and multi-organ dysfunction. Twenty-six of 53 subjects fulfilled the maximum RIFLE criteria within 72 h after admission and the mean (SD) time to first RIFLE attend was 1.6 (1.2) day. Subjects with AKI (RIFLE criteria) had 4.5 times higher mortality than those without AKI (36 </w:t>
      </w:r>
      <w:r w:rsidRPr="00FB2593">
        <w:rPr>
          <w:rFonts w:ascii="Arial" w:hAnsi="Arial" w:cs="Arial"/>
          <w:i/>
          <w:iCs/>
          <w:color w:val="333333"/>
          <w:sz w:val="14"/>
          <w:szCs w:val="26"/>
        </w:rPr>
        <w:t>vs</w:t>
      </w:r>
      <w:r w:rsidRPr="00FB2593">
        <w:rPr>
          <w:rFonts w:ascii="Arial" w:hAnsi="Arial" w:cs="Arial"/>
          <w:color w:val="333333"/>
          <w:sz w:val="14"/>
          <w:szCs w:val="26"/>
        </w:rPr>
        <w:t> 8%, </w:t>
      </w:r>
      <w:r w:rsidRPr="00FB2593">
        <w:rPr>
          <w:rFonts w:ascii="Arial" w:hAnsi="Arial" w:cs="Arial"/>
          <w:i/>
          <w:iCs/>
          <w:color w:val="333333"/>
          <w:sz w:val="14"/>
          <w:szCs w:val="26"/>
        </w:rPr>
        <w:t>P</w:t>
      </w:r>
      <w:r w:rsidRPr="00FB2593">
        <w:rPr>
          <w:rFonts w:ascii="Arial" w:hAnsi="Arial" w:cs="Arial"/>
          <w:color w:val="333333"/>
          <w:sz w:val="14"/>
          <w:szCs w:val="26"/>
        </w:rPr>
        <w:t>&lt; etc).</w:t>
      </w:r>
    </w:p>
    <w:p w:rsidR="00864D8C" w:rsidRPr="000332F9" w:rsidRDefault="00864D8C" w:rsidP="00864D8C">
      <w:pPr>
        <w:spacing w:before="240" w:after="240" w:line="360" w:lineRule="auto"/>
        <w:jc w:val="both"/>
        <w:rPr>
          <w:rFonts w:ascii="Arial" w:eastAsia="Times New Roman" w:hAnsi="Arial" w:cs="Arial"/>
          <w:color w:val="333333"/>
          <w:sz w:val="14"/>
          <w:szCs w:val="24"/>
        </w:rPr>
      </w:pPr>
      <w:r w:rsidRPr="000332F9">
        <w:rPr>
          <w:rFonts w:ascii="Arial" w:eastAsia="Times New Roman" w:hAnsi="Arial" w:cs="Arial"/>
          <w:b/>
          <w:bCs/>
          <w:color w:val="333333"/>
          <w:sz w:val="14"/>
          <w:szCs w:val="24"/>
        </w:rPr>
        <w:t>Conclusion:</w:t>
      </w:r>
      <w:r w:rsidRPr="000332F9">
        <w:rPr>
          <w:rFonts w:ascii="Arial" w:eastAsia="Times New Roman" w:hAnsi="Arial" w:cs="Arial"/>
          <w:color w:val="333333"/>
          <w:sz w:val="14"/>
          <w:szCs w:val="24"/>
        </w:rPr>
        <w:t> A high incidence of AKI was noted in the PICU that was associated with high mortality. The RIFLE criterion is an effective tool which can be used not only for predicting the outcomes, but may help in the early identification of patients at risk for AKI.</w:t>
      </w:r>
    </w:p>
    <w:p w:rsidR="00864D8C" w:rsidRPr="000332F9" w:rsidRDefault="00864D8C" w:rsidP="00864D8C">
      <w:pPr>
        <w:spacing w:after="0" w:line="360" w:lineRule="auto"/>
        <w:jc w:val="both"/>
        <w:rPr>
          <w:rFonts w:ascii="Arial" w:eastAsia="Times New Roman" w:hAnsi="Arial" w:cs="Arial"/>
          <w:color w:val="333333"/>
          <w:sz w:val="14"/>
          <w:szCs w:val="24"/>
        </w:rPr>
      </w:pPr>
      <w:r w:rsidRPr="000332F9">
        <w:rPr>
          <w:rFonts w:ascii="Arial" w:eastAsia="Times New Roman" w:hAnsi="Arial" w:cs="Arial"/>
          <w:color w:val="333333"/>
          <w:sz w:val="14"/>
          <w:szCs w:val="24"/>
        </w:rPr>
        <w:t>Keywords: </w:t>
      </w:r>
      <w:hyperlink r:id="rId10" w:history="1">
        <w:r w:rsidRPr="00EA4BDC">
          <w:rPr>
            <w:rFonts w:ascii="Arial" w:eastAsia="Times New Roman" w:hAnsi="Arial" w:cs="Arial"/>
            <w:color w:val="10147E"/>
            <w:sz w:val="14"/>
            <w:szCs w:val="24"/>
            <w:u w:val="single"/>
          </w:rPr>
          <w:t>RIFLE criteria</w:t>
        </w:r>
      </w:hyperlink>
      <w:r w:rsidRPr="00EA4BDC">
        <w:rPr>
          <w:rFonts w:ascii="Arial" w:eastAsia="Times New Roman" w:hAnsi="Arial" w:cs="Arial"/>
          <w:color w:val="333333"/>
          <w:sz w:val="14"/>
          <w:szCs w:val="24"/>
        </w:rPr>
        <w:t>, </w:t>
      </w:r>
      <w:hyperlink r:id="rId11" w:history="1">
        <w:r w:rsidRPr="00EA4BDC">
          <w:rPr>
            <w:rFonts w:ascii="Arial" w:eastAsia="Times New Roman" w:hAnsi="Arial" w:cs="Arial"/>
            <w:color w:val="10147E"/>
            <w:sz w:val="14"/>
            <w:szCs w:val="24"/>
            <w:u w:val="single"/>
          </w:rPr>
          <w:t>Glomerular filtration rate</w:t>
        </w:r>
      </w:hyperlink>
      <w:r w:rsidRPr="00EA4BDC">
        <w:rPr>
          <w:rFonts w:ascii="Arial" w:eastAsia="Times New Roman" w:hAnsi="Arial" w:cs="Arial"/>
          <w:color w:val="333333"/>
          <w:sz w:val="14"/>
          <w:szCs w:val="24"/>
        </w:rPr>
        <w:t>, </w:t>
      </w:r>
      <w:hyperlink r:id="rId12" w:history="1">
        <w:r w:rsidRPr="00EA4BDC">
          <w:rPr>
            <w:rFonts w:ascii="Arial" w:eastAsia="Times New Roman" w:hAnsi="Arial" w:cs="Arial"/>
            <w:color w:val="10147E"/>
            <w:sz w:val="14"/>
            <w:szCs w:val="24"/>
            <w:u w:val="single"/>
          </w:rPr>
          <w:t>PICU</w:t>
        </w:r>
      </w:hyperlink>
      <w:r w:rsidRPr="00EA4BDC">
        <w:rPr>
          <w:rFonts w:ascii="Arial" w:eastAsia="Times New Roman" w:hAnsi="Arial" w:cs="Arial"/>
          <w:color w:val="333333"/>
          <w:sz w:val="14"/>
          <w:szCs w:val="24"/>
        </w:rPr>
        <w:t>, </w:t>
      </w:r>
      <w:hyperlink r:id="rId13" w:history="1">
        <w:r w:rsidRPr="00EA4BDC">
          <w:rPr>
            <w:rFonts w:ascii="Arial" w:eastAsia="Times New Roman" w:hAnsi="Arial" w:cs="Arial"/>
            <w:color w:val="10147E"/>
            <w:sz w:val="14"/>
            <w:szCs w:val="24"/>
            <w:u w:val="single"/>
          </w:rPr>
          <w:t>Mortality</w:t>
        </w:r>
      </w:hyperlink>
      <w:r w:rsidRPr="00EA4BDC">
        <w:rPr>
          <w:rFonts w:ascii="Arial" w:eastAsia="Times New Roman" w:hAnsi="Arial" w:cs="Arial"/>
          <w:color w:val="333333"/>
          <w:sz w:val="14"/>
          <w:szCs w:val="24"/>
        </w:rPr>
        <w:t>, </w:t>
      </w:r>
      <w:hyperlink r:id="rId14" w:history="1">
        <w:r w:rsidRPr="00EA4BDC">
          <w:rPr>
            <w:rFonts w:ascii="Arial" w:eastAsia="Times New Roman" w:hAnsi="Arial" w:cs="Arial"/>
            <w:color w:val="10147E"/>
            <w:sz w:val="14"/>
            <w:szCs w:val="24"/>
            <w:u w:val="single"/>
          </w:rPr>
          <w:t>Renal failure</w:t>
        </w:r>
      </w:hyperlink>
    </w:p>
    <w:p w:rsidR="00864D8C" w:rsidRDefault="00864D8C" w:rsidP="00864D8C">
      <w:pPr>
        <w:spacing w:after="0" w:line="360" w:lineRule="auto"/>
        <w:jc w:val="both"/>
        <w:rPr>
          <w:rFonts w:ascii="Arial" w:eastAsia="Times New Roman" w:hAnsi="Arial" w:cs="Arial"/>
          <w:color w:val="333333"/>
          <w:sz w:val="14"/>
          <w:szCs w:val="24"/>
        </w:rPr>
      </w:pPr>
      <w:r w:rsidRPr="000332F9">
        <w:rPr>
          <w:rFonts w:ascii="Arial" w:eastAsia="Times New Roman" w:hAnsi="Arial" w:cs="Arial"/>
          <w:color w:val="333333"/>
          <w:sz w:val="14"/>
          <w:szCs w:val="24"/>
        </w:rPr>
        <w:t>Abbreviations: </w:t>
      </w:r>
      <w:hyperlink r:id="rId15" w:history="1">
        <w:r w:rsidRPr="00EA4BDC">
          <w:rPr>
            <w:rFonts w:ascii="Arial" w:eastAsia="Times New Roman" w:hAnsi="Arial" w:cs="Arial"/>
            <w:color w:val="10147E"/>
            <w:sz w:val="14"/>
            <w:szCs w:val="24"/>
            <w:u w:val="single"/>
          </w:rPr>
          <w:t>RIFLE, Risk, Injury, Failure, Loss, End-stage kidney disease</w:t>
        </w:r>
      </w:hyperlink>
      <w:r w:rsidRPr="00EA4BDC">
        <w:rPr>
          <w:rFonts w:ascii="Arial" w:eastAsia="Times New Roman" w:hAnsi="Arial" w:cs="Arial"/>
          <w:color w:val="333333"/>
          <w:sz w:val="14"/>
          <w:szCs w:val="24"/>
        </w:rPr>
        <w:t>, </w:t>
      </w:r>
      <w:hyperlink r:id="rId16" w:history="1">
        <w:r w:rsidRPr="00EA4BDC">
          <w:rPr>
            <w:rFonts w:ascii="Arial" w:eastAsia="Times New Roman" w:hAnsi="Arial" w:cs="Arial"/>
            <w:color w:val="10147E"/>
            <w:sz w:val="14"/>
            <w:szCs w:val="24"/>
            <w:u w:val="single"/>
          </w:rPr>
          <w:t>AKI, acute kidney injury</w:t>
        </w:r>
      </w:hyperlink>
      <w:r w:rsidRPr="00EA4BDC">
        <w:rPr>
          <w:rFonts w:ascii="Arial" w:eastAsia="Times New Roman" w:hAnsi="Arial" w:cs="Arial"/>
          <w:color w:val="333333"/>
          <w:sz w:val="14"/>
          <w:szCs w:val="24"/>
        </w:rPr>
        <w:t>, </w:t>
      </w:r>
      <w:hyperlink r:id="rId17" w:history="1">
        <w:r w:rsidRPr="00EA4BDC">
          <w:rPr>
            <w:rFonts w:ascii="Arial" w:eastAsia="Times New Roman" w:hAnsi="Arial" w:cs="Arial"/>
            <w:color w:val="10147E"/>
            <w:sz w:val="14"/>
            <w:szCs w:val="24"/>
            <w:u w:val="single"/>
          </w:rPr>
          <w:t>PICU, paediatric intensive care unit</w:t>
        </w:r>
      </w:hyperlink>
      <w:r w:rsidRPr="00EA4BDC">
        <w:rPr>
          <w:rFonts w:ascii="Arial" w:eastAsia="Times New Roman" w:hAnsi="Arial" w:cs="Arial"/>
          <w:color w:val="333333"/>
          <w:sz w:val="14"/>
          <w:szCs w:val="24"/>
        </w:rPr>
        <w:t>, </w:t>
      </w:r>
      <w:hyperlink r:id="rId18" w:history="1">
        <w:r w:rsidRPr="00EA4BDC">
          <w:rPr>
            <w:rFonts w:ascii="Arial" w:eastAsia="Times New Roman" w:hAnsi="Arial" w:cs="Arial"/>
            <w:color w:val="10147E"/>
            <w:sz w:val="14"/>
            <w:szCs w:val="24"/>
            <w:u w:val="single"/>
          </w:rPr>
          <w:t>PRISM, paediatric risk of mortality</w:t>
        </w:r>
      </w:hyperlink>
      <w:r w:rsidRPr="00EA4BDC">
        <w:rPr>
          <w:rFonts w:ascii="Arial" w:eastAsia="Times New Roman" w:hAnsi="Arial" w:cs="Arial"/>
          <w:color w:val="333333"/>
          <w:sz w:val="14"/>
          <w:szCs w:val="24"/>
        </w:rPr>
        <w:t>, </w:t>
      </w:r>
      <w:hyperlink r:id="rId19" w:history="1">
        <w:r w:rsidRPr="00EA4BDC">
          <w:rPr>
            <w:rFonts w:ascii="Arial" w:eastAsia="Times New Roman" w:hAnsi="Arial" w:cs="Arial"/>
            <w:color w:val="10147E"/>
            <w:sz w:val="14"/>
            <w:szCs w:val="24"/>
            <w:u w:val="single"/>
          </w:rPr>
          <w:t>ARF acute renal failure</w:t>
        </w:r>
      </w:hyperlink>
      <w:r w:rsidRPr="00EA4BDC">
        <w:rPr>
          <w:rFonts w:ascii="Arial" w:eastAsia="Times New Roman" w:hAnsi="Arial" w:cs="Arial"/>
          <w:color w:val="333333"/>
          <w:sz w:val="14"/>
          <w:szCs w:val="24"/>
        </w:rPr>
        <w:t>, </w:t>
      </w:r>
      <w:hyperlink r:id="rId20" w:history="1">
        <w:r w:rsidRPr="00EA4BDC">
          <w:rPr>
            <w:rFonts w:ascii="Arial" w:eastAsia="Times New Roman" w:hAnsi="Arial" w:cs="Arial"/>
            <w:color w:val="10147E"/>
            <w:sz w:val="14"/>
            <w:szCs w:val="24"/>
            <w:u w:val="single"/>
          </w:rPr>
          <w:t>RRT renal replacement therapy</w:t>
        </w:r>
      </w:hyperlink>
      <w:r w:rsidRPr="00EA4BDC">
        <w:rPr>
          <w:rFonts w:ascii="Arial" w:eastAsia="Times New Roman" w:hAnsi="Arial" w:cs="Arial"/>
          <w:color w:val="333333"/>
          <w:sz w:val="14"/>
          <w:szCs w:val="24"/>
        </w:rPr>
        <w:t>, </w:t>
      </w:r>
      <w:hyperlink r:id="rId21" w:history="1">
        <w:r w:rsidRPr="00EA4BDC">
          <w:rPr>
            <w:rFonts w:ascii="Arial" w:eastAsia="Times New Roman" w:hAnsi="Arial" w:cs="Arial"/>
            <w:color w:val="10147E"/>
            <w:sz w:val="14"/>
            <w:szCs w:val="24"/>
            <w:u w:val="single"/>
          </w:rPr>
          <w:t>ADQI, acute dialysis quality initiative</w:t>
        </w:r>
      </w:hyperlink>
      <w:r w:rsidRPr="00EA4BDC">
        <w:rPr>
          <w:rFonts w:ascii="Arial" w:eastAsia="Times New Roman" w:hAnsi="Arial" w:cs="Arial"/>
          <w:color w:val="333333"/>
          <w:sz w:val="14"/>
          <w:szCs w:val="24"/>
        </w:rPr>
        <w:t>, </w:t>
      </w:r>
      <w:hyperlink r:id="rId22" w:history="1">
        <w:r w:rsidRPr="00EA4BDC">
          <w:rPr>
            <w:rFonts w:ascii="Arial" w:eastAsia="Times New Roman" w:hAnsi="Arial" w:cs="Arial"/>
            <w:color w:val="10147E"/>
            <w:sz w:val="14"/>
            <w:szCs w:val="24"/>
            <w:u w:val="single"/>
          </w:rPr>
          <w:t>GFR, glomerular filtration rate</w:t>
        </w:r>
      </w:hyperlink>
      <w:r w:rsidRPr="00EA4BDC">
        <w:rPr>
          <w:rFonts w:ascii="Arial" w:eastAsia="Times New Roman" w:hAnsi="Arial" w:cs="Arial"/>
          <w:color w:val="333333"/>
          <w:sz w:val="14"/>
          <w:szCs w:val="24"/>
        </w:rPr>
        <w:t>, </w:t>
      </w:r>
      <w:hyperlink r:id="rId23" w:history="1">
        <w:r w:rsidRPr="00EA4BDC">
          <w:rPr>
            <w:rFonts w:ascii="Arial" w:eastAsia="Times New Roman" w:hAnsi="Arial" w:cs="Arial"/>
            <w:color w:val="10147E"/>
            <w:sz w:val="14"/>
            <w:szCs w:val="24"/>
            <w:u w:val="single"/>
          </w:rPr>
          <w:t>eCCL, estimated creatinine clearance</w:t>
        </w:r>
      </w:hyperlink>
      <w:r w:rsidRPr="00EA4BDC">
        <w:rPr>
          <w:rFonts w:ascii="Arial" w:eastAsia="Times New Roman" w:hAnsi="Arial" w:cs="Arial"/>
          <w:color w:val="333333"/>
          <w:sz w:val="14"/>
          <w:szCs w:val="24"/>
        </w:rPr>
        <w:t>, </w:t>
      </w:r>
      <w:hyperlink r:id="rId24" w:history="1">
        <w:r w:rsidRPr="00EA4BDC">
          <w:rPr>
            <w:rFonts w:ascii="Arial" w:eastAsia="Times New Roman" w:hAnsi="Arial" w:cs="Arial"/>
            <w:color w:val="10147E"/>
            <w:sz w:val="14"/>
            <w:szCs w:val="24"/>
            <w:u w:val="single"/>
          </w:rPr>
          <w:t>MODS, ultiple organ dysfunction syndrome</w:t>
        </w:r>
      </w:hyperlink>
      <w:r w:rsidRPr="00EA4BDC">
        <w:rPr>
          <w:rFonts w:ascii="Arial" w:eastAsia="Times New Roman" w:hAnsi="Arial" w:cs="Arial"/>
          <w:color w:val="333333"/>
          <w:sz w:val="14"/>
          <w:szCs w:val="24"/>
        </w:rPr>
        <w:t>, </w:t>
      </w:r>
      <w:hyperlink r:id="rId25" w:history="1">
        <w:r w:rsidRPr="00EA4BDC">
          <w:rPr>
            <w:rFonts w:ascii="Arial" w:eastAsia="Times New Roman" w:hAnsi="Arial" w:cs="Arial"/>
            <w:color w:val="10147E"/>
            <w:sz w:val="14"/>
            <w:szCs w:val="24"/>
            <w:u w:val="single"/>
          </w:rPr>
          <w:t>UO, urine output</w:t>
        </w:r>
      </w:hyperlink>
    </w:p>
    <w:p w:rsidR="00112591" w:rsidRDefault="00112591" w:rsidP="00864D8C">
      <w:pPr>
        <w:spacing w:line="360" w:lineRule="auto"/>
        <w:jc w:val="both"/>
      </w:pPr>
    </w:p>
    <w:sectPr w:rsidR="001125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2"/>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53AE"/>
    <w:rsid w:val="00112591"/>
    <w:rsid w:val="007253AE"/>
    <w:rsid w:val="00864D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D8C"/>
  </w:style>
  <w:style w:type="paragraph" w:styleId="Heading1">
    <w:name w:val="heading 1"/>
    <w:basedOn w:val="Normal"/>
    <w:next w:val="Normal"/>
    <w:link w:val="Heading1Char"/>
    <w:uiPriority w:val="9"/>
    <w:qFormat/>
    <w:rsid w:val="00864D8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4D8C"/>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semiHidden/>
    <w:unhideWhenUsed/>
    <w:rsid w:val="00864D8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64D8C"/>
    <w:rPr>
      <w:color w:val="0000FF"/>
      <w:u w:val="single"/>
    </w:rPr>
  </w:style>
  <w:style w:type="character" w:customStyle="1" w:styleId="nlmarticle-title">
    <w:name w:val="nlm_article-title"/>
    <w:basedOn w:val="DefaultParagraphFont"/>
    <w:rsid w:val="00864D8C"/>
  </w:style>
  <w:style w:type="character" w:customStyle="1" w:styleId="contribdegrees">
    <w:name w:val="contribdegrees"/>
    <w:basedOn w:val="DefaultParagraphFont"/>
    <w:rsid w:val="00864D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D8C"/>
  </w:style>
  <w:style w:type="paragraph" w:styleId="Heading1">
    <w:name w:val="heading 1"/>
    <w:basedOn w:val="Normal"/>
    <w:next w:val="Normal"/>
    <w:link w:val="Heading1Char"/>
    <w:uiPriority w:val="9"/>
    <w:qFormat/>
    <w:rsid w:val="00864D8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4D8C"/>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semiHidden/>
    <w:unhideWhenUsed/>
    <w:rsid w:val="00864D8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64D8C"/>
    <w:rPr>
      <w:color w:val="0000FF"/>
      <w:u w:val="single"/>
    </w:rPr>
  </w:style>
  <w:style w:type="character" w:customStyle="1" w:styleId="nlmarticle-title">
    <w:name w:val="nlm_article-title"/>
    <w:basedOn w:val="DefaultParagraphFont"/>
    <w:rsid w:val="00864D8C"/>
  </w:style>
  <w:style w:type="character" w:customStyle="1" w:styleId="contribdegrees">
    <w:name w:val="contribdegrees"/>
    <w:basedOn w:val="DefaultParagraphFont"/>
    <w:rsid w:val="00864D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andfonline.com/author/Pooni%2C+Puneet+Aulakh" TargetMode="External"/><Relationship Id="rId13" Type="http://schemas.openxmlformats.org/officeDocument/2006/relationships/hyperlink" Target="http://www.tandfonline.com/keyword/Mortality" TargetMode="External"/><Relationship Id="rId18" Type="http://schemas.openxmlformats.org/officeDocument/2006/relationships/hyperlink" Target="http://www.tandfonline.com/keyword/PRISM%2C+Paediatric+Risk+Of+Mortality"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tandfonline.com/keyword/ADQI%2C+Acute+Dialysis+Quality+Initiative" TargetMode="External"/><Relationship Id="rId7" Type="http://schemas.openxmlformats.org/officeDocument/2006/relationships/hyperlink" Target="http://www.tandfonline.com/author/Das%2C+Rashmi+Ranjan" TargetMode="External"/><Relationship Id="rId12" Type="http://schemas.openxmlformats.org/officeDocument/2006/relationships/hyperlink" Target="http://www.tandfonline.com/keyword/PICU" TargetMode="External"/><Relationship Id="rId17" Type="http://schemas.openxmlformats.org/officeDocument/2006/relationships/hyperlink" Target="http://www.tandfonline.com/keyword/PICU%2C+Paediatric+Intensive+Care+Unit" TargetMode="External"/><Relationship Id="rId25" Type="http://schemas.openxmlformats.org/officeDocument/2006/relationships/hyperlink" Target="http://www.tandfonline.com/keyword/UO%2C+Urine+Output" TargetMode="External"/><Relationship Id="rId2" Type="http://schemas.microsoft.com/office/2007/relationships/stylesWithEffects" Target="stylesWithEffects.xml"/><Relationship Id="rId16" Type="http://schemas.openxmlformats.org/officeDocument/2006/relationships/hyperlink" Target="http://www.tandfonline.com/keyword/AKI%2C+Acute+Kidney+Injury" TargetMode="External"/><Relationship Id="rId20" Type="http://schemas.openxmlformats.org/officeDocument/2006/relationships/hyperlink" Target="http://www.tandfonline.com/keyword/RRT+Renal+Replacement+Therapy" TargetMode="External"/><Relationship Id="rId1" Type="http://schemas.openxmlformats.org/officeDocument/2006/relationships/styles" Target="styles.xml"/><Relationship Id="rId6" Type="http://schemas.openxmlformats.org/officeDocument/2006/relationships/hyperlink" Target="http://www.tandfonline.com/author/Arora%2C+Kamaldeep" TargetMode="External"/><Relationship Id="rId11" Type="http://schemas.openxmlformats.org/officeDocument/2006/relationships/hyperlink" Target="http://www.tandfonline.com/keyword/Glomerular+Filtration+Rate" TargetMode="External"/><Relationship Id="rId24" Type="http://schemas.openxmlformats.org/officeDocument/2006/relationships/hyperlink" Target="http://www.tandfonline.com/keyword/MODS%2C+Ultiple+Organ+Dysfunction+Syndrome" TargetMode="External"/><Relationship Id="rId5" Type="http://schemas.openxmlformats.org/officeDocument/2006/relationships/hyperlink" Target="http://www.tandfonline.com/author/Rustagi%2C+Rashi+Singal" TargetMode="External"/><Relationship Id="rId15" Type="http://schemas.openxmlformats.org/officeDocument/2006/relationships/hyperlink" Target="http://www.tandfonline.com/keyword/RIFLE%2C+Risk%2C+Injury%2C+Failure%2C+Loss%2C+End-stage+Kidney+Disease" TargetMode="External"/><Relationship Id="rId23" Type="http://schemas.openxmlformats.org/officeDocument/2006/relationships/hyperlink" Target="http://www.tandfonline.com/keyword/Eccl%2C+Estimated+Creatinine+Clearance" TargetMode="External"/><Relationship Id="rId10" Type="http://schemas.openxmlformats.org/officeDocument/2006/relationships/hyperlink" Target="http://www.tandfonline.com/keyword/RIFLE+Criteria" TargetMode="External"/><Relationship Id="rId19" Type="http://schemas.openxmlformats.org/officeDocument/2006/relationships/hyperlink" Target="http://www.tandfonline.com/keyword/ARF+Acute+Renal+Failure" TargetMode="External"/><Relationship Id="rId4" Type="http://schemas.openxmlformats.org/officeDocument/2006/relationships/webSettings" Target="webSettings.xml"/><Relationship Id="rId9" Type="http://schemas.openxmlformats.org/officeDocument/2006/relationships/hyperlink" Target="http://www.tandfonline.com/author/Singh%2C+Daljit" TargetMode="External"/><Relationship Id="rId14" Type="http://schemas.openxmlformats.org/officeDocument/2006/relationships/hyperlink" Target="http://www.tandfonline.com/keyword/Renal+Failure" TargetMode="External"/><Relationship Id="rId22" Type="http://schemas.openxmlformats.org/officeDocument/2006/relationships/hyperlink" Target="http://www.tandfonline.com/keyword/GFR%2C+Glomerular+Filtration+Rate"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585</Words>
  <Characters>3336</Characters>
  <Application>Microsoft Office Word</Application>
  <DocSecurity>0</DocSecurity>
  <Lines>27</Lines>
  <Paragraphs>7</Paragraphs>
  <ScaleCrop>false</ScaleCrop>
  <Company/>
  <LinksUpToDate>false</LinksUpToDate>
  <CharactersWithSpaces>3914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2017-10-27T15:03:00Z</dcterms:created>
  <dcterms:modified xsi:type="dcterms:W3CDTF">2017-10-27T15:05:00Z</dcterms:modified>
</cp:coreProperties>
</file>