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F281E" w:rsidRPr="00E7485F" w:rsidRDefault="007F281E" w:rsidP="007F281E">
      <w:pPr>
        <w:pStyle w:val="BodyText"/>
        <w:tabs>
          <w:tab w:val="left" w:pos="630"/>
        </w:tabs>
        <w:spacing w:before="76" w:line="480" w:lineRule="auto"/>
        <w:ind w:left="0" w:right="425"/>
        <w:jc w:val="center"/>
        <w:rPr>
          <w:rFonts w:cs="Times New Roman"/>
          <w:b/>
          <w:bCs/>
          <w:szCs w:val="36"/>
        </w:rPr>
      </w:pPr>
      <w:r>
        <w:rPr>
          <w:rFonts w:cs="Times New Roman"/>
          <w:b/>
          <w:bCs/>
          <w:szCs w:val="36"/>
        </w:rPr>
        <w:t>A</w:t>
      </w:r>
      <w:r w:rsidRPr="002B5AAD">
        <w:rPr>
          <w:rFonts w:cs="Times New Roman"/>
          <w:b/>
          <w:bCs/>
          <w:szCs w:val="36"/>
        </w:rPr>
        <w:t xml:space="preserve">ssociation </w:t>
      </w:r>
      <w:r w:rsidRPr="00E7485F">
        <w:rPr>
          <w:rFonts w:cs="Times New Roman"/>
          <w:b/>
          <w:bCs/>
          <w:szCs w:val="36"/>
        </w:rPr>
        <w:t>between exposure to macrolides and the development of infantile hypertrophic pyloric stenosis: a systematic review and meta-analysis</w:t>
      </w:r>
    </w:p>
    <w:p w:rsidR="003E30E6" w:rsidRPr="001D5B1F" w:rsidRDefault="003E30E6" w:rsidP="003E30E6">
      <w:pPr>
        <w:spacing w:line="480" w:lineRule="auto"/>
        <w:rPr>
          <w:rFonts w:cs="Times New Roman"/>
          <w:b/>
        </w:rPr>
      </w:pPr>
      <w:bookmarkStart w:id="0" w:name="_GoBack"/>
      <w:bookmarkEnd w:id="0"/>
      <w:r w:rsidRPr="001D5B1F">
        <w:rPr>
          <w:rFonts w:cs="Times New Roman"/>
          <w:b/>
        </w:rPr>
        <w:t>Abstract</w:t>
      </w:r>
    </w:p>
    <w:p w:rsidR="003E30E6" w:rsidRDefault="003E30E6" w:rsidP="003E30E6">
      <w:pPr>
        <w:pStyle w:val="BodyText"/>
        <w:spacing w:before="76" w:line="480" w:lineRule="auto"/>
        <w:ind w:left="0" w:right="425"/>
        <w:rPr>
          <w:rFonts w:cs="Times New Roman"/>
          <w:b/>
          <w:bCs/>
          <w:szCs w:val="36"/>
        </w:rPr>
      </w:pPr>
      <w:r>
        <w:rPr>
          <w:rFonts w:cs="Times New Roman"/>
          <w:b/>
          <w:bCs/>
          <w:szCs w:val="36"/>
        </w:rPr>
        <w:t>Background</w:t>
      </w:r>
    </w:p>
    <w:p w:rsidR="003E30E6" w:rsidRDefault="003E30E6" w:rsidP="003E30E6">
      <w:pPr>
        <w:pStyle w:val="BodyText"/>
        <w:spacing w:before="76" w:line="480" w:lineRule="auto"/>
        <w:ind w:left="0" w:right="425"/>
        <w:rPr>
          <w:rFonts w:cs="Times New Roman"/>
          <w:b/>
          <w:bCs/>
          <w:szCs w:val="36"/>
        </w:rPr>
      </w:pPr>
      <w:r w:rsidRPr="00833446">
        <w:rPr>
          <w:rFonts w:cs="Times New Roman"/>
          <w:bCs/>
          <w:szCs w:val="36"/>
        </w:rPr>
        <w:t xml:space="preserve">Macrolides are </w:t>
      </w:r>
      <w:r w:rsidRPr="007C3CEA">
        <w:rPr>
          <w:rFonts w:cs="Times New Roman"/>
          <w:bCs/>
          <w:szCs w:val="36"/>
        </w:rPr>
        <w:t xml:space="preserve">bacteriostatic antibiotics with a broad spectrum of activity against </w:t>
      </w:r>
      <w:r>
        <w:rPr>
          <w:rFonts w:cs="Times New Roman"/>
          <w:bCs/>
          <w:szCs w:val="36"/>
        </w:rPr>
        <w:t>G</w:t>
      </w:r>
      <w:r w:rsidRPr="007C3CEA">
        <w:rPr>
          <w:rFonts w:cs="Times New Roman"/>
          <w:bCs/>
          <w:szCs w:val="36"/>
        </w:rPr>
        <w:t>ram-positive bacteria.</w:t>
      </w:r>
    </w:p>
    <w:p w:rsidR="003E30E6" w:rsidRDefault="003E30E6" w:rsidP="003E30E6">
      <w:pPr>
        <w:pStyle w:val="BodyText"/>
        <w:spacing w:before="76" w:line="480" w:lineRule="auto"/>
        <w:ind w:left="0" w:right="425"/>
        <w:rPr>
          <w:rFonts w:cs="Times New Roman"/>
          <w:bCs/>
          <w:szCs w:val="36"/>
        </w:rPr>
      </w:pPr>
      <w:r>
        <w:rPr>
          <w:rFonts w:cs="Times New Roman"/>
          <w:b/>
          <w:bCs/>
          <w:szCs w:val="36"/>
        </w:rPr>
        <w:t>Objectives</w:t>
      </w:r>
    </w:p>
    <w:p w:rsidR="003E30E6" w:rsidRPr="002B5AAD" w:rsidRDefault="003E30E6" w:rsidP="003E30E6">
      <w:pPr>
        <w:pStyle w:val="BodyText"/>
        <w:spacing w:before="76" w:line="480" w:lineRule="auto"/>
        <w:ind w:left="0" w:right="425"/>
        <w:rPr>
          <w:rFonts w:cs="Times New Roman"/>
          <w:bCs/>
          <w:szCs w:val="36"/>
        </w:rPr>
      </w:pPr>
      <w:r w:rsidRPr="002B5AAD">
        <w:rPr>
          <w:rFonts w:cs="Times New Roman"/>
          <w:spacing w:val="-2"/>
        </w:rPr>
        <w:t xml:space="preserve">The aim of this </w:t>
      </w:r>
      <w:r w:rsidRPr="002B5AAD">
        <w:rPr>
          <w:rFonts w:cs="Times New Roman"/>
        </w:rPr>
        <w:t xml:space="preserve">study was to systematically review and </w:t>
      </w:r>
      <w:proofErr w:type="gramStart"/>
      <w:r w:rsidRPr="002B5AAD">
        <w:rPr>
          <w:rFonts w:cs="Times New Roman"/>
        </w:rPr>
        <w:t>meta-</w:t>
      </w:r>
      <w:proofErr w:type="gramEnd"/>
      <w:r w:rsidRPr="002B5AAD">
        <w:rPr>
          <w:rFonts w:cs="Times New Roman"/>
        </w:rPr>
        <w:t xml:space="preserve">analyze the </w:t>
      </w:r>
      <w:r w:rsidRPr="00214738">
        <w:rPr>
          <w:rFonts w:cs="Times New Roman"/>
        </w:rPr>
        <w:t xml:space="preserve">association between </w:t>
      </w:r>
      <w:r w:rsidRPr="00214738">
        <w:rPr>
          <w:rFonts w:cs="Times New Roman"/>
          <w:spacing w:val="-6"/>
        </w:rPr>
        <w:t>i</w:t>
      </w:r>
      <w:r w:rsidRPr="00214738">
        <w:rPr>
          <w:rFonts w:cs="Times New Roman"/>
        </w:rPr>
        <w:t>n</w:t>
      </w:r>
      <w:r w:rsidRPr="00214738">
        <w:rPr>
          <w:rFonts w:cs="Times New Roman"/>
          <w:spacing w:val="1"/>
        </w:rPr>
        <w:t>f</w:t>
      </w:r>
      <w:r w:rsidRPr="00214738">
        <w:rPr>
          <w:rFonts w:cs="Times New Roman"/>
          <w:spacing w:val="-1"/>
        </w:rPr>
        <w:t>a</w:t>
      </w:r>
      <w:r w:rsidRPr="00214738">
        <w:rPr>
          <w:rFonts w:cs="Times New Roman"/>
        </w:rPr>
        <w:t>ntile</w:t>
      </w:r>
      <w:r w:rsidRPr="004674CB">
        <w:rPr>
          <w:rFonts w:cs="Times New Roman"/>
          <w:spacing w:val="23"/>
        </w:rPr>
        <w:t xml:space="preserve"> </w:t>
      </w:r>
      <w:r w:rsidRPr="004674CB">
        <w:rPr>
          <w:rFonts w:cs="Times New Roman"/>
          <w:spacing w:val="2"/>
        </w:rPr>
        <w:t>h</w:t>
      </w:r>
      <w:r w:rsidRPr="004674CB">
        <w:rPr>
          <w:rFonts w:cs="Times New Roman"/>
          <w:spacing w:val="-5"/>
        </w:rPr>
        <w:t>y</w:t>
      </w:r>
      <w:r w:rsidRPr="00833446">
        <w:rPr>
          <w:rFonts w:cs="Times New Roman"/>
        </w:rPr>
        <w:t>p</w:t>
      </w:r>
      <w:r w:rsidRPr="00833446">
        <w:rPr>
          <w:rFonts w:cs="Times New Roman"/>
          <w:spacing w:val="1"/>
        </w:rPr>
        <w:t>e</w:t>
      </w:r>
      <w:r w:rsidRPr="007C3CEA">
        <w:rPr>
          <w:rFonts w:cs="Times New Roman"/>
        </w:rPr>
        <w:t>rt</w:t>
      </w:r>
      <w:r w:rsidRPr="007C3CEA">
        <w:rPr>
          <w:rFonts w:cs="Times New Roman"/>
          <w:spacing w:val="1"/>
        </w:rPr>
        <w:t>r</w:t>
      </w:r>
      <w:r w:rsidRPr="002B5AAD">
        <w:rPr>
          <w:rFonts w:cs="Times New Roman"/>
        </w:rPr>
        <w:t>ophic</w:t>
      </w:r>
      <w:r w:rsidRPr="002B5AAD">
        <w:rPr>
          <w:rFonts w:cs="Times New Roman"/>
          <w:spacing w:val="23"/>
        </w:rPr>
        <w:t xml:space="preserve"> </w:t>
      </w:r>
      <w:r w:rsidRPr="002B5AAD">
        <w:rPr>
          <w:rFonts w:cs="Times New Roman"/>
          <w:spacing w:val="2"/>
        </w:rPr>
        <w:t>p</w:t>
      </w:r>
      <w:r w:rsidRPr="002B5AAD">
        <w:rPr>
          <w:rFonts w:cs="Times New Roman"/>
          <w:spacing w:val="-5"/>
        </w:rPr>
        <w:t>y</w:t>
      </w:r>
      <w:r w:rsidRPr="002B5AAD">
        <w:rPr>
          <w:rFonts w:cs="Times New Roman"/>
        </w:rPr>
        <w:t>loric</w:t>
      </w:r>
      <w:r w:rsidRPr="002B5AAD">
        <w:rPr>
          <w:rFonts w:cs="Times New Roman"/>
          <w:spacing w:val="23"/>
        </w:rPr>
        <w:t xml:space="preserve"> </w:t>
      </w:r>
      <w:r w:rsidRPr="002B5AAD">
        <w:rPr>
          <w:rFonts w:cs="Times New Roman"/>
        </w:rPr>
        <w:t>stenosis (IHPS) and m</w:t>
      </w:r>
      <w:r w:rsidRPr="002B5AAD">
        <w:rPr>
          <w:rFonts w:cs="Times New Roman"/>
          <w:spacing w:val="-1"/>
        </w:rPr>
        <w:t>ac</w:t>
      </w:r>
      <w:r w:rsidRPr="002B5AAD">
        <w:rPr>
          <w:rFonts w:cs="Times New Roman"/>
        </w:rPr>
        <w:t>rolid</w:t>
      </w:r>
      <w:r w:rsidRPr="002B5AAD">
        <w:rPr>
          <w:rFonts w:cs="Times New Roman"/>
          <w:spacing w:val="-1"/>
        </w:rPr>
        <w:t>e</w:t>
      </w:r>
      <w:r w:rsidRPr="002B5AAD">
        <w:rPr>
          <w:rFonts w:cs="Times New Roman"/>
        </w:rPr>
        <w:t>s.</w:t>
      </w:r>
    </w:p>
    <w:p w:rsidR="003E30E6" w:rsidRPr="002B5AAD" w:rsidRDefault="003E30E6" w:rsidP="003E30E6">
      <w:pPr>
        <w:pStyle w:val="BodyText"/>
        <w:spacing w:before="76" w:line="480" w:lineRule="auto"/>
        <w:ind w:left="0" w:right="425"/>
        <w:rPr>
          <w:rFonts w:cs="Times New Roman"/>
          <w:b/>
          <w:bCs/>
          <w:szCs w:val="36"/>
        </w:rPr>
      </w:pPr>
      <w:r w:rsidRPr="002B5AAD">
        <w:rPr>
          <w:rFonts w:cs="Times New Roman"/>
          <w:b/>
          <w:bCs/>
          <w:szCs w:val="36"/>
        </w:rPr>
        <w:t>Methods</w:t>
      </w:r>
    </w:p>
    <w:p w:rsidR="003E30E6" w:rsidRPr="002B5AAD" w:rsidRDefault="003E30E6" w:rsidP="003E30E6">
      <w:pPr>
        <w:spacing w:line="480" w:lineRule="auto"/>
        <w:rPr>
          <w:rFonts w:eastAsia="Times New Roman" w:cs="Times New Roman"/>
          <w:szCs w:val="20"/>
        </w:rPr>
      </w:pPr>
      <w:r w:rsidRPr="00481FF7">
        <w:rPr>
          <w:rFonts w:eastAsia="Times New Roman" w:cs="Times New Roman"/>
          <w:color w:val="000000"/>
          <w:szCs w:val="20"/>
        </w:rPr>
        <w:t xml:space="preserve">Nine </w:t>
      </w:r>
      <w:r w:rsidRPr="002B5AAD">
        <w:rPr>
          <w:rFonts w:eastAsia="Times New Roman" w:cs="Times New Roman"/>
          <w:szCs w:val="20"/>
        </w:rPr>
        <w:t xml:space="preserve">databases were searched systematically for studies with information on the association between macrolides and IHPS. </w:t>
      </w:r>
      <w:r w:rsidRPr="00481FF7">
        <w:rPr>
          <w:rFonts w:cs="Times New Roman"/>
          <w:color w:val="000000"/>
          <w:szCs w:val="24"/>
          <w:lang w:bidi="ar-EG"/>
        </w:rPr>
        <w:t>We combined findings using fixed- and random-effects models.</w:t>
      </w:r>
    </w:p>
    <w:p w:rsidR="003E30E6" w:rsidRPr="002B5AAD" w:rsidRDefault="003E30E6" w:rsidP="003E30E6">
      <w:pPr>
        <w:pStyle w:val="BodyText"/>
        <w:spacing w:before="76" w:line="480" w:lineRule="auto"/>
        <w:ind w:left="0" w:right="425"/>
        <w:rPr>
          <w:rFonts w:cs="Times New Roman"/>
          <w:b/>
          <w:bCs/>
          <w:szCs w:val="36"/>
        </w:rPr>
      </w:pPr>
      <w:r w:rsidRPr="002B5AAD">
        <w:rPr>
          <w:rFonts w:cs="Times New Roman"/>
          <w:b/>
          <w:bCs/>
          <w:szCs w:val="36"/>
        </w:rPr>
        <w:t>Results</w:t>
      </w:r>
    </w:p>
    <w:p w:rsidR="003E30E6" w:rsidRPr="002B5AAD" w:rsidRDefault="003E30E6" w:rsidP="003E30E6">
      <w:pPr>
        <w:kinsoku w:val="0"/>
        <w:overflowPunct w:val="0"/>
        <w:autoSpaceDE w:val="0"/>
        <w:autoSpaceDN w:val="0"/>
        <w:adjustRightInd w:val="0"/>
        <w:spacing w:line="480" w:lineRule="auto"/>
        <w:ind w:right="425"/>
        <w:rPr>
          <w:rFonts w:cs="Times New Roman"/>
          <w:szCs w:val="24"/>
        </w:rPr>
      </w:pPr>
      <w:r w:rsidRPr="002B5AAD">
        <w:rPr>
          <w:rFonts w:eastAsia="Times New Roman" w:cs="Times New Roman"/>
          <w:spacing w:val="-2"/>
          <w:szCs w:val="24"/>
        </w:rPr>
        <w:t xml:space="preserve">Our study revealed 18 articles investigating the association between </w:t>
      </w:r>
      <w:r w:rsidRPr="002B5AAD">
        <w:rPr>
          <w:rFonts w:eastAsia="Times New Roman" w:cs="Times New Roman"/>
          <w:szCs w:val="20"/>
        </w:rPr>
        <w:t>macrolides and IHPS.</w:t>
      </w:r>
      <w:r w:rsidRPr="002B5AAD">
        <w:rPr>
          <w:rFonts w:eastAsia="Times New Roman" w:cs="Times New Roman"/>
          <w:spacing w:val="-2"/>
          <w:szCs w:val="24"/>
        </w:rPr>
        <w:t xml:space="preserve"> There was a </w:t>
      </w:r>
      <w:r w:rsidRPr="00481FF7">
        <w:rPr>
          <w:rFonts w:eastAsia="Times New Roman" w:cs="Times New Roman"/>
          <w:color w:val="000000"/>
          <w:spacing w:val="-2"/>
          <w:szCs w:val="24"/>
        </w:rPr>
        <w:t>significant association between the development of IHPS and erythromycin (</w:t>
      </w:r>
      <w:r w:rsidRPr="00214738">
        <w:rPr>
          <w:rFonts w:eastAsia="Times New Roman" w:cs="Times New Roman"/>
          <w:spacing w:val="-2"/>
          <w:szCs w:val="24"/>
        </w:rPr>
        <w:t>2.</w:t>
      </w:r>
      <w:r>
        <w:rPr>
          <w:rFonts w:eastAsia="Times New Roman" w:cs="Times New Roman"/>
          <w:spacing w:val="-2"/>
          <w:szCs w:val="24"/>
        </w:rPr>
        <w:t>38, 1.06</w:t>
      </w:r>
      <w:r w:rsidRPr="00214738">
        <w:rPr>
          <w:rFonts w:eastAsia="Times New Roman" w:cs="Times New Roman"/>
          <w:spacing w:val="-2"/>
          <w:szCs w:val="24"/>
        </w:rPr>
        <w:t xml:space="preserve"> – </w:t>
      </w:r>
      <w:r>
        <w:rPr>
          <w:rFonts w:eastAsia="Times New Roman" w:cs="Times New Roman"/>
          <w:spacing w:val="-2"/>
          <w:szCs w:val="24"/>
        </w:rPr>
        <w:t>5.39</w:t>
      </w:r>
      <w:r w:rsidRPr="004674CB">
        <w:rPr>
          <w:rFonts w:eastAsia="Times New Roman" w:cs="Times New Roman"/>
          <w:spacing w:val="-2"/>
          <w:szCs w:val="24"/>
        </w:rPr>
        <w:t>)</w:t>
      </w:r>
      <w:r w:rsidRPr="002B5AAD">
        <w:rPr>
          <w:rFonts w:eastAsia="Times New Roman" w:cs="Times New Roman"/>
          <w:spacing w:val="-2"/>
          <w:szCs w:val="24"/>
        </w:rPr>
        <w:t xml:space="preserve">. </w:t>
      </w:r>
      <w:r>
        <w:rPr>
          <w:rFonts w:eastAsia="Times New Roman" w:cs="Times New Roman"/>
          <w:spacing w:val="-2"/>
          <w:szCs w:val="24"/>
        </w:rPr>
        <w:t xml:space="preserve">The association was strong when erythromycin was used during the first two weeks of life (8.14, 4.29 – 15.45). </w:t>
      </w:r>
      <w:r>
        <w:rPr>
          <w:rFonts w:cs="Times New Roman"/>
          <w:szCs w:val="24"/>
        </w:rPr>
        <w:t>D</w:t>
      </w:r>
      <w:r w:rsidRPr="002B5AAD">
        <w:rPr>
          <w:rFonts w:cs="Times New Roman"/>
          <w:szCs w:val="24"/>
        </w:rPr>
        <w:t xml:space="preserve">uring breastfeeding, use of macrolides showed no significant association with IHPS in infants </w:t>
      </w:r>
      <w:r>
        <w:rPr>
          <w:rFonts w:eastAsia="Times New Roman" w:cs="Times New Roman"/>
          <w:spacing w:val="-2"/>
          <w:szCs w:val="24"/>
        </w:rPr>
        <w:t>(</w:t>
      </w:r>
      <w:r w:rsidRPr="002B5AAD">
        <w:rPr>
          <w:rFonts w:eastAsia="Times New Roman" w:cs="Times New Roman"/>
          <w:spacing w:val="-2"/>
          <w:szCs w:val="24"/>
        </w:rPr>
        <w:t>0.</w:t>
      </w:r>
      <w:r>
        <w:rPr>
          <w:rFonts w:eastAsia="Times New Roman" w:cs="Times New Roman"/>
          <w:spacing w:val="-2"/>
          <w:szCs w:val="24"/>
        </w:rPr>
        <w:t xml:space="preserve">96, </w:t>
      </w:r>
      <w:r w:rsidRPr="002B5AAD">
        <w:rPr>
          <w:rFonts w:eastAsia="Times New Roman" w:cs="Times New Roman"/>
          <w:spacing w:val="-2"/>
          <w:szCs w:val="24"/>
        </w:rPr>
        <w:t>0.</w:t>
      </w:r>
      <w:r>
        <w:rPr>
          <w:rFonts w:eastAsia="Times New Roman" w:cs="Times New Roman"/>
          <w:spacing w:val="-2"/>
          <w:szCs w:val="24"/>
        </w:rPr>
        <w:t>61</w:t>
      </w:r>
      <w:r w:rsidRPr="002B5AAD">
        <w:rPr>
          <w:rFonts w:eastAsia="Times New Roman" w:cs="Times New Roman"/>
          <w:spacing w:val="-2"/>
          <w:szCs w:val="24"/>
        </w:rPr>
        <w:t xml:space="preserve"> – </w:t>
      </w:r>
      <w:r>
        <w:rPr>
          <w:rFonts w:eastAsia="Times New Roman" w:cs="Times New Roman"/>
          <w:spacing w:val="-2"/>
          <w:szCs w:val="24"/>
        </w:rPr>
        <w:t>1.53)</w:t>
      </w:r>
      <w:r w:rsidRPr="002B5AAD">
        <w:rPr>
          <w:rFonts w:eastAsia="Times New Roman" w:cs="Times New Roman"/>
          <w:spacing w:val="-2"/>
          <w:szCs w:val="24"/>
        </w:rPr>
        <w:t>.</w:t>
      </w:r>
      <w:r>
        <w:rPr>
          <w:rFonts w:cs="Times New Roman"/>
          <w:szCs w:val="24"/>
        </w:rPr>
        <w:t xml:space="preserve"> </w:t>
      </w:r>
      <w:r w:rsidRPr="002B5AAD">
        <w:rPr>
          <w:rFonts w:eastAsia="Times New Roman" w:cs="Times New Roman"/>
          <w:spacing w:val="-2"/>
          <w:szCs w:val="24"/>
        </w:rPr>
        <w:t xml:space="preserve">IHPS </w:t>
      </w:r>
      <w:r>
        <w:rPr>
          <w:rFonts w:eastAsia="Times New Roman" w:cs="Times New Roman"/>
          <w:spacing w:val="-2"/>
          <w:szCs w:val="24"/>
        </w:rPr>
        <w:t xml:space="preserve">was not associated with </w:t>
      </w:r>
      <w:r w:rsidRPr="002B5AAD">
        <w:rPr>
          <w:rFonts w:eastAsia="Times New Roman" w:cs="Times New Roman"/>
          <w:spacing w:val="-2"/>
          <w:szCs w:val="24"/>
        </w:rPr>
        <w:t xml:space="preserve">erythromycin </w:t>
      </w:r>
      <w:r>
        <w:rPr>
          <w:rFonts w:eastAsia="Times New Roman" w:cs="Times New Roman"/>
          <w:spacing w:val="-2"/>
          <w:szCs w:val="24"/>
        </w:rPr>
        <w:t xml:space="preserve">(1.11, 0.9 – 1.36) nor </w:t>
      </w:r>
      <w:r w:rsidRPr="002B5AAD">
        <w:rPr>
          <w:rFonts w:eastAsia="Times New Roman" w:cs="Times New Roman"/>
          <w:spacing w:val="-2"/>
          <w:szCs w:val="24"/>
        </w:rPr>
        <w:t xml:space="preserve">macrolides use during pregnancy </w:t>
      </w:r>
      <w:r>
        <w:rPr>
          <w:rFonts w:eastAsia="Times New Roman" w:cs="Times New Roman"/>
          <w:spacing w:val="-2"/>
          <w:szCs w:val="24"/>
        </w:rPr>
        <w:t>(</w:t>
      </w:r>
      <w:r w:rsidRPr="002B5AAD">
        <w:rPr>
          <w:rFonts w:eastAsia="Times New Roman" w:cs="Times New Roman"/>
          <w:spacing w:val="-2"/>
          <w:szCs w:val="24"/>
        </w:rPr>
        <w:t>1.1</w:t>
      </w:r>
      <w:r>
        <w:rPr>
          <w:rFonts w:eastAsia="Times New Roman" w:cs="Times New Roman"/>
          <w:spacing w:val="-2"/>
          <w:szCs w:val="24"/>
        </w:rPr>
        <w:t xml:space="preserve">5, </w:t>
      </w:r>
      <w:r w:rsidRPr="002B5AAD">
        <w:rPr>
          <w:rFonts w:eastAsia="Times New Roman" w:cs="Times New Roman"/>
          <w:spacing w:val="-2"/>
          <w:szCs w:val="24"/>
        </w:rPr>
        <w:t>0.</w:t>
      </w:r>
      <w:r>
        <w:rPr>
          <w:rFonts w:eastAsia="Times New Roman" w:cs="Times New Roman"/>
          <w:spacing w:val="-2"/>
          <w:szCs w:val="24"/>
        </w:rPr>
        <w:t>98 – 1.36)</w:t>
      </w:r>
      <w:r w:rsidRPr="002B5AAD">
        <w:rPr>
          <w:rFonts w:eastAsia="Times New Roman" w:cs="Times New Roman"/>
          <w:spacing w:val="-2"/>
          <w:szCs w:val="24"/>
        </w:rPr>
        <w:t>.</w:t>
      </w:r>
    </w:p>
    <w:p w:rsidR="003E30E6" w:rsidRPr="002B5AAD" w:rsidRDefault="003E30E6" w:rsidP="003E30E6">
      <w:pPr>
        <w:pStyle w:val="BodyText"/>
        <w:spacing w:before="76" w:line="480" w:lineRule="auto"/>
        <w:ind w:left="0" w:right="425"/>
        <w:rPr>
          <w:rFonts w:cs="Times New Roman"/>
          <w:b/>
          <w:bCs/>
          <w:szCs w:val="36"/>
        </w:rPr>
      </w:pPr>
      <w:r w:rsidRPr="002B5AAD">
        <w:rPr>
          <w:rFonts w:cs="Times New Roman"/>
          <w:b/>
          <w:bCs/>
          <w:szCs w:val="36"/>
        </w:rPr>
        <w:t>Conclusion</w:t>
      </w:r>
      <w:r>
        <w:rPr>
          <w:rFonts w:cs="Times New Roman"/>
          <w:b/>
          <w:bCs/>
          <w:szCs w:val="36"/>
        </w:rPr>
        <w:t>s</w:t>
      </w:r>
    </w:p>
    <w:p w:rsidR="003E30E6" w:rsidRDefault="003E30E6" w:rsidP="003E30E6">
      <w:pPr>
        <w:pStyle w:val="BodyText"/>
        <w:spacing w:before="76" w:line="480" w:lineRule="auto"/>
        <w:ind w:left="0" w:right="425"/>
        <w:rPr>
          <w:rFonts w:cs="Times New Roman"/>
          <w:bCs/>
          <w:szCs w:val="36"/>
        </w:rPr>
      </w:pPr>
      <w:r w:rsidRPr="002B5AAD">
        <w:rPr>
          <w:rFonts w:cs="Times New Roman"/>
          <w:bCs/>
          <w:szCs w:val="36"/>
        </w:rPr>
        <w:lastRenderedPageBreak/>
        <w:t xml:space="preserve">There </w:t>
      </w:r>
      <w:r>
        <w:rPr>
          <w:rFonts w:cs="Times New Roman"/>
          <w:bCs/>
          <w:szCs w:val="36"/>
        </w:rPr>
        <w:t>is</w:t>
      </w:r>
      <w:r w:rsidRPr="002B5AAD">
        <w:rPr>
          <w:rFonts w:cs="Times New Roman"/>
          <w:bCs/>
          <w:szCs w:val="36"/>
        </w:rPr>
        <w:t xml:space="preserve"> an association between </w:t>
      </w:r>
      <w:r>
        <w:rPr>
          <w:rFonts w:cs="Times New Roman"/>
          <w:bCs/>
          <w:szCs w:val="36"/>
        </w:rPr>
        <w:t>erythromycin</w:t>
      </w:r>
      <w:r w:rsidRPr="002B5AAD">
        <w:rPr>
          <w:rFonts w:cs="Times New Roman"/>
          <w:bCs/>
          <w:szCs w:val="36"/>
        </w:rPr>
        <w:t xml:space="preserve"> use during </w:t>
      </w:r>
      <w:r>
        <w:rPr>
          <w:rFonts w:cs="Times New Roman"/>
          <w:bCs/>
          <w:szCs w:val="36"/>
        </w:rPr>
        <w:t>infancy</w:t>
      </w:r>
      <w:r w:rsidRPr="002B5AAD">
        <w:rPr>
          <w:rFonts w:cs="Times New Roman"/>
          <w:bCs/>
          <w:szCs w:val="36"/>
        </w:rPr>
        <w:t xml:space="preserve"> and developing IHPS in infants. </w:t>
      </w:r>
      <w:r>
        <w:rPr>
          <w:rFonts w:cs="Times New Roman"/>
          <w:bCs/>
          <w:szCs w:val="36"/>
        </w:rPr>
        <w:t>However,</w:t>
      </w:r>
      <w:r w:rsidRPr="002B5AAD">
        <w:rPr>
          <w:rFonts w:cs="Times New Roman"/>
          <w:bCs/>
          <w:szCs w:val="36"/>
        </w:rPr>
        <w:t xml:space="preserve"> no significant </w:t>
      </w:r>
      <w:r>
        <w:rPr>
          <w:rFonts w:cs="Times New Roman"/>
          <w:bCs/>
          <w:szCs w:val="36"/>
        </w:rPr>
        <w:t>association was found</w:t>
      </w:r>
      <w:r w:rsidRPr="002B5AAD">
        <w:rPr>
          <w:rFonts w:cs="Times New Roman"/>
          <w:bCs/>
          <w:szCs w:val="36"/>
        </w:rPr>
        <w:t xml:space="preserve"> between macrolides use during pregnancy </w:t>
      </w:r>
      <w:r>
        <w:rPr>
          <w:rFonts w:cs="Times New Roman"/>
          <w:bCs/>
          <w:szCs w:val="36"/>
        </w:rPr>
        <w:t>n</w:t>
      </w:r>
      <w:r w:rsidRPr="00770414">
        <w:rPr>
          <w:rFonts w:cs="Times New Roman"/>
          <w:bCs/>
          <w:szCs w:val="36"/>
        </w:rPr>
        <w:t>or</w:t>
      </w:r>
      <w:r w:rsidRPr="001D5B1F">
        <w:rPr>
          <w:rFonts w:cs="Times New Roman"/>
          <w:bCs/>
          <w:color w:val="FF0000"/>
          <w:szCs w:val="36"/>
        </w:rPr>
        <w:t xml:space="preserve"> </w:t>
      </w:r>
      <w:r w:rsidRPr="001D5B1F">
        <w:rPr>
          <w:rFonts w:cs="Times New Roman"/>
          <w:bCs/>
          <w:szCs w:val="36"/>
        </w:rPr>
        <w:t>breastf</w:t>
      </w:r>
      <w:r w:rsidRPr="00214738">
        <w:rPr>
          <w:rFonts w:cs="Times New Roman"/>
          <w:bCs/>
          <w:szCs w:val="36"/>
        </w:rPr>
        <w:t xml:space="preserve">eeding. Future larger prospective studies are necessary to evaluate this </w:t>
      </w:r>
      <w:r w:rsidRPr="00D10060">
        <w:rPr>
          <w:rFonts w:cs="Times New Roman"/>
          <w:bCs/>
          <w:szCs w:val="36"/>
        </w:rPr>
        <w:t>association</w:t>
      </w:r>
      <w:r w:rsidRPr="002B5AAD">
        <w:rPr>
          <w:rFonts w:cs="Times New Roman"/>
          <w:bCs/>
          <w:szCs w:val="36"/>
        </w:rPr>
        <w:t>.</w:t>
      </w:r>
    </w:p>
    <w:p w:rsidR="00B30000" w:rsidRDefault="00B30000"/>
    <w:sectPr w:rsidR="00B300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36D6"/>
    <w:rsid w:val="003E30E6"/>
    <w:rsid w:val="007F281E"/>
    <w:rsid w:val="00B30000"/>
    <w:rsid w:val="00E036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0FAFA49-E7F8-4EE5-A6EC-CF9EE88409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E30E6"/>
    <w:pPr>
      <w:spacing w:before="100" w:beforeAutospacing="1" w:after="100" w:afterAutospacing="1" w:line="276" w:lineRule="auto"/>
    </w:pPr>
    <w:rPr>
      <w:rFonts w:ascii="Times New Roman" w:eastAsia="Calibri" w:hAnsi="Times New Roman" w:cs="Arial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unhideWhenUsed/>
    <w:qFormat/>
    <w:rsid w:val="003E30E6"/>
    <w:pPr>
      <w:widowControl w:val="0"/>
      <w:spacing w:before="0" w:beforeAutospacing="0" w:after="0" w:afterAutospacing="0" w:line="240" w:lineRule="auto"/>
      <w:ind w:left="100"/>
    </w:pPr>
    <w:rPr>
      <w:rFonts w:eastAsia="Times New Roman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3E30E6"/>
    <w:rPr>
      <w:rFonts w:ascii="Times New Roman" w:eastAsia="Times New Roman" w:hAnsi="Times New Roman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219</Words>
  <Characters>1251</Characters>
  <Application>Microsoft Office Word</Application>
  <DocSecurity>0</DocSecurity>
  <Lines>10</Lines>
  <Paragraphs>2</Paragraphs>
  <ScaleCrop>false</ScaleCrop>
  <Company/>
  <LinksUpToDate>false</LinksUpToDate>
  <CharactersWithSpaces>1468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Microsoft account</cp:lastModifiedBy>
  <cp:revision>3</cp:revision>
  <dcterms:created xsi:type="dcterms:W3CDTF">2017-08-31T20:50:00Z</dcterms:created>
  <dcterms:modified xsi:type="dcterms:W3CDTF">2017-08-31T20:50:00Z</dcterms:modified>
</cp:coreProperties>
</file>