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9E5" w:rsidRPr="00E749E5" w:rsidRDefault="00427784" w:rsidP="00E749E5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749E5">
        <w:rPr>
          <w:rFonts w:asciiTheme="majorBidi" w:hAnsiTheme="majorBidi" w:cstheme="majorBidi"/>
          <w:b/>
          <w:bCs/>
          <w:sz w:val="24"/>
          <w:szCs w:val="24"/>
        </w:rPr>
        <w:t xml:space="preserve">Clinical Characteristics and Epidemiology of Sepsis in </w:t>
      </w:r>
      <w:proofErr w:type="gramStart"/>
      <w:r w:rsidRPr="00E749E5">
        <w:rPr>
          <w:rFonts w:asciiTheme="majorBidi" w:hAnsiTheme="majorBidi" w:cstheme="majorBidi"/>
          <w:b/>
          <w:bCs/>
          <w:sz w:val="24"/>
          <w:szCs w:val="24"/>
        </w:rPr>
        <w:t>The</w:t>
      </w:r>
      <w:proofErr w:type="gramEnd"/>
      <w:r w:rsidRPr="00E749E5">
        <w:rPr>
          <w:rFonts w:asciiTheme="majorBidi" w:hAnsiTheme="majorBidi" w:cstheme="majorBidi"/>
          <w:b/>
          <w:bCs/>
          <w:sz w:val="24"/>
          <w:szCs w:val="24"/>
        </w:rPr>
        <w:t xml:space="preserve"> Neonatal Intensive Care Unit in The Era of Multi-Drug Resistant Organisms: a Retrospective Review</w:t>
      </w:r>
    </w:p>
    <w:p w:rsidR="00E749E5" w:rsidRPr="00E749E5" w:rsidRDefault="00E749E5" w:rsidP="00E749E5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749E5">
        <w:rPr>
          <w:rFonts w:asciiTheme="majorBidi" w:hAnsiTheme="majorBidi" w:cstheme="majorBidi"/>
          <w:sz w:val="24"/>
          <w:szCs w:val="24"/>
        </w:rPr>
        <w:t xml:space="preserve">Dawood </w:t>
      </w:r>
      <w:r w:rsidRPr="00E749E5">
        <w:rPr>
          <w:rFonts w:asciiTheme="majorBidi" w:hAnsiTheme="majorBidi" w:cstheme="majorBidi"/>
          <w:sz w:val="24"/>
          <w:szCs w:val="24"/>
        </w:rPr>
        <w:t>Yusef</w:t>
      </w:r>
      <w:r w:rsidRPr="00E749E5">
        <w:rPr>
          <w:rFonts w:asciiTheme="majorBidi" w:hAnsiTheme="majorBidi" w:cstheme="majorBidi"/>
          <w:sz w:val="24"/>
          <w:szCs w:val="24"/>
        </w:rPr>
        <w:t xml:space="preserve">, Tala </w:t>
      </w:r>
      <w:proofErr w:type="spellStart"/>
      <w:r w:rsidRPr="00E749E5">
        <w:rPr>
          <w:rFonts w:asciiTheme="majorBidi" w:hAnsiTheme="majorBidi" w:cstheme="majorBidi"/>
          <w:sz w:val="24"/>
          <w:szCs w:val="24"/>
        </w:rPr>
        <w:t>Shalakhti</w:t>
      </w:r>
      <w:proofErr w:type="spellEnd"/>
      <w:r w:rsidRPr="00E749E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749E5">
        <w:rPr>
          <w:rFonts w:asciiTheme="majorBidi" w:hAnsiTheme="majorBidi" w:cstheme="majorBidi"/>
          <w:sz w:val="24"/>
          <w:szCs w:val="24"/>
        </w:rPr>
        <w:t>Samah</w:t>
      </w:r>
      <w:proofErr w:type="spellEnd"/>
      <w:r w:rsidRPr="00E749E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49E5">
        <w:rPr>
          <w:rFonts w:asciiTheme="majorBidi" w:hAnsiTheme="majorBidi" w:cstheme="majorBidi"/>
          <w:sz w:val="24"/>
          <w:szCs w:val="24"/>
        </w:rPr>
        <w:t>Awad</w:t>
      </w:r>
      <w:proofErr w:type="spellEnd"/>
      <w:r w:rsidRPr="00E749E5">
        <w:rPr>
          <w:rFonts w:asciiTheme="majorBidi" w:hAnsiTheme="majorBidi" w:cstheme="majorBidi"/>
          <w:sz w:val="24"/>
          <w:szCs w:val="24"/>
        </w:rPr>
        <w:t>,</w:t>
      </w:r>
      <w:r w:rsidRPr="00E749E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E749E5">
        <w:rPr>
          <w:rFonts w:asciiTheme="majorBidi" w:hAnsiTheme="majorBidi" w:cstheme="majorBidi"/>
          <w:sz w:val="24"/>
          <w:szCs w:val="24"/>
        </w:rPr>
        <w:t>Hana’a</w:t>
      </w:r>
      <w:proofErr w:type="spellEnd"/>
      <w:r w:rsidRPr="00E749E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49E5">
        <w:rPr>
          <w:rFonts w:asciiTheme="majorBidi" w:hAnsiTheme="majorBidi" w:cstheme="majorBidi"/>
          <w:sz w:val="24"/>
          <w:szCs w:val="24"/>
        </w:rPr>
        <w:t>Algharaibeh</w:t>
      </w:r>
      <w:proofErr w:type="spellEnd"/>
      <w:r w:rsidRPr="00E749E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749E5">
        <w:rPr>
          <w:rFonts w:asciiTheme="majorBidi" w:hAnsiTheme="majorBidi" w:cstheme="majorBidi"/>
          <w:sz w:val="24"/>
          <w:szCs w:val="24"/>
        </w:rPr>
        <w:t>Wasim</w:t>
      </w:r>
      <w:proofErr w:type="spellEnd"/>
      <w:r w:rsidRPr="00E749E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749E5">
        <w:rPr>
          <w:rFonts w:asciiTheme="majorBidi" w:hAnsiTheme="majorBidi" w:cstheme="majorBidi"/>
          <w:sz w:val="24"/>
          <w:szCs w:val="24"/>
        </w:rPr>
        <w:t>Khasawneh</w:t>
      </w:r>
      <w:proofErr w:type="spellEnd"/>
    </w:p>
    <w:p w:rsidR="00E749E5" w:rsidRDefault="00E749E5" w:rsidP="0042778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427784" w:rsidRPr="00E749E5" w:rsidRDefault="00427784" w:rsidP="0042778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749E5">
        <w:rPr>
          <w:rFonts w:asciiTheme="majorBidi" w:hAnsiTheme="majorBidi" w:cstheme="majorBidi"/>
          <w:b/>
          <w:bCs/>
          <w:sz w:val="24"/>
          <w:szCs w:val="24"/>
        </w:rPr>
        <w:t>Abstract:</w:t>
      </w:r>
    </w:p>
    <w:p w:rsidR="00427784" w:rsidRDefault="00427784" w:rsidP="0042778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427784" w:rsidRPr="00427784" w:rsidRDefault="00427784" w:rsidP="008829E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27784">
        <w:rPr>
          <w:rFonts w:asciiTheme="majorBidi" w:hAnsiTheme="majorBidi" w:cstheme="majorBidi"/>
          <w:sz w:val="24"/>
          <w:szCs w:val="24"/>
        </w:rPr>
        <w:t>Background: Sepsis in the neonatal intensive care unit (NICU) rema</w:t>
      </w:r>
      <w:r w:rsidRPr="00427784">
        <w:rPr>
          <w:rFonts w:asciiTheme="majorBidi" w:hAnsiTheme="majorBidi" w:cstheme="majorBidi"/>
          <w:sz w:val="24"/>
          <w:szCs w:val="24"/>
        </w:rPr>
        <w:t xml:space="preserve">ins one of the most significant </w:t>
      </w:r>
      <w:r w:rsidRPr="00427784">
        <w:rPr>
          <w:rFonts w:asciiTheme="majorBidi" w:hAnsiTheme="majorBidi" w:cstheme="majorBidi"/>
          <w:sz w:val="24"/>
          <w:szCs w:val="24"/>
        </w:rPr>
        <w:t>causes of morbidity and mortality, especially for preterm</w:t>
      </w:r>
      <w:r w:rsidRPr="00427784">
        <w:rPr>
          <w:rFonts w:asciiTheme="majorBidi" w:hAnsiTheme="majorBidi" w:cstheme="majorBidi"/>
          <w:sz w:val="24"/>
          <w:szCs w:val="24"/>
        </w:rPr>
        <w:t xml:space="preserve"> newborns. Multi-drug resistant </w:t>
      </w:r>
      <w:r w:rsidRPr="00427784">
        <w:rPr>
          <w:rFonts w:asciiTheme="majorBidi" w:hAnsiTheme="majorBidi" w:cstheme="majorBidi"/>
          <w:sz w:val="24"/>
          <w:szCs w:val="24"/>
        </w:rPr>
        <w:t>organisms (MDROs) are emerging as important pathogens that cause neonatal sepsis in NICU.</w:t>
      </w:r>
      <w:r w:rsidRPr="00427784">
        <w:rPr>
          <w:rFonts w:asciiTheme="majorBidi" w:hAnsiTheme="majorBidi" w:cstheme="majorBidi"/>
          <w:sz w:val="24"/>
          <w:szCs w:val="24"/>
        </w:rPr>
        <w:t xml:space="preserve"> </w:t>
      </w:r>
      <w:r w:rsidRPr="00427784">
        <w:rPr>
          <w:rFonts w:asciiTheme="majorBidi" w:hAnsiTheme="majorBidi" w:cstheme="majorBidi"/>
          <w:sz w:val="24"/>
          <w:szCs w:val="24"/>
        </w:rPr>
        <w:t xml:space="preserve">Therefore, studying the epidemiology, clinical features, </w:t>
      </w:r>
      <w:r w:rsidRPr="00427784">
        <w:rPr>
          <w:rFonts w:asciiTheme="majorBidi" w:hAnsiTheme="majorBidi" w:cstheme="majorBidi"/>
          <w:sz w:val="24"/>
          <w:szCs w:val="24"/>
        </w:rPr>
        <w:t xml:space="preserve">and outcome caused by MDROs vs. </w:t>
      </w:r>
      <w:r w:rsidRPr="00427784">
        <w:rPr>
          <w:rFonts w:asciiTheme="majorBidi" w:hAnsiTheme="majorBidi" w:cstheme="majorBidi"/>
          <w:sz w:val="24"/>
          <w:szCs w:val="24"/>
        </w:rPr>
        <w:t xml:space="preserve">non-MDROs, and identifying risk factors that may predispose </w:t>
      </w:r>
      <w:r w:rsidRPr="00427784">
        <w:rPr>
          <w:rFonts w:asciiTheme="majorBidi" w:hAnsiTheme="majorBidi" w:cstheme="majorBidi"/>
          <w:sz w:val="24"/>
          <w:szCs w:val="24"/>
        </w:rPr>
        <w:t xml:space="preserve">patients to sepsis by MDROs are </w:t>
      </w:r>
      <w:r w:rsidRPr="00427784">
        <w:rPr>
          <w:rFonts w:asciiTheme="majorBidi" w:hAnsiTheme="majorBidi" w:cstheme="majorBidi"/>
          <w:sz w:val="24"/>
          <w:szCs w:val="24"/>
        </w:rPr>
        <w:t>important.</w:t>
      </w:r>
    </w:p>
    <w:p w:rsidR="00427784" w:rsidRPr="00427784" w:rsidRDefault="00427784" w:rsidP="008829E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27784" w:rsidRPr="00427784" w:rsidRDefault="00427784" w:rsidP="008829E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27784">
        <w:rPr>
          <w:rFonts w:asciiTheme="majorBidi" w:hAnsiTheme="majorBidi" w:cstheme="majorBidi"/>
          <w:sz w:val="24"/>
          <w:szCs w:val="24"/>
        </w:rPr>
        <w:t>Methods: Episodes of blood culture-proven sepsis (age: 0e90 days)</w:t>
      </w:r>
      <w:r w:rsidRPr="00427784">
        <w:rPr>
          <w:rFonts w:asciiTheme="majorBidi" w:hAnsiTheme="majorBidi" w:cstheme="majorBidi"/>
          <w:sz w:val="24"/>
          <w:szCs w:val="24"/>
        </w:rPr>
        <w:t xml:space="preserve"> in the NICU at our institution </w:t>
      </w:r>
      <w:r w:rsidRPr="00427784">
        <w:rPr>
          <w:rFonts w:asciiTheme="majorBidi" w:hAnsiTheme="majorBidi" w:cstheme="majorBidi"/>
          <w:sz w:val="24"/>
          <w:szCs w:val="24"/>
        </w:rPr>
        <w:t>from January 2012 to December 2015 were retrospec</w:t>
      </w:r>
      <w:r w:rsidRPr="00427784">
        <w:rPr>
          <w:rFonts w:asciiTheme="majorBidi" w:hAnsiTheme="majorBidi" w:cstheme="majorBidi"/>
          <w:sz w:val="24"/>
          <w:szCs w:val="24"/>
        </w:rPr>
        <w:t xml:space="preserve">tively reviewed. Collected data </w:t>
      </w:r>
      <w:r w:rsidRPr="00427784">
        <w:rPr>
          <w:rFonts w:asciiTheme="majorBidi" w:hAnsiTheme="majorBidi" w:cstheme="majorBidi"/>
          <w:sz w:val="24"/>
          <w:szCs w:val="24"/>
        </w:rPr>
        <w:t>included demographics, signs at tim</w:t>
      </w:r>
      <w:r w:rsidRPr="00427784">
        <w:rPr>
          <w:rFonts w:asciiTheme="majorBidi" w:hAnsiTheme="majorBidi" w:cstheme="majorBidi"/>
          <w:sz w:val="24"/>
          <w:szCs w:val="24"/>
        </w:rPr>
        <w:t xml:space="preserve">e of sepsis, laboratory values, microbiologic results, and </w:t>
      </w:r>
      <w:r w:rsidRPr="00427784">
        <w:rPr>
          <w:rFonts w:asciiTheme="majorBidi" w:hAnsiTheme="majorBidi" w:cstheme="majorBidi"/>
          <w:sz w:val="24"/>
          <w:szCs w:val="24"/>
        </w:rPr>
        <w:t>final outcome. We compared clinical and laborat</w:t>
      </w:r>
      <w:r w:rsidRPr="00427784">
        <w:rPr>
          <w:rFonts w:asciiTheme="majorBidi" w:hAnsiTheme="majorBidi" w:cstheme="majorBidi"/>
          <w:sz w:val="24"/>
          <w:szCs w:val="24"/>
        </w:rPr>
        <w:t xml:space="preserve">ory data and final outcome for patients with </w:t>
      </w:r>
      <w:r w:rsidRPr="00427784">
        <w:rPr>
          <w:rFonts w:asciiTheme="majorBidi" w:hAnsiTheme="majorBidi" w:cstheme="majorBidi"/>
          <w:sz w:val="24"/>
          <w:szCs w:val="24"/>
        </w:rPr>
        <w:t>sepsis due to MD</w:t>
      </w:r>
      <w:r w:rsidRPr="00427784">
        <w:rPr>
          <w:rFonts w:asciiTheme="majorBidi" w:hAnsiTheme="majorBidi" w:cstheme="majorBidi"/>
          <w:sz w:val="24"/>
          <w:szCs w:val="24"/>
        </w:rPr>
        <w:t xml:space="preserve">ROs vs. non-MDROs. Multivariate </w:t>
      </w:r>
      <w:r w:rsidRPr="00427784">
        <w:rPr>
          <w:rFonts w:asciiTheme="majorBidi" w:hAnsiTheme="majorBidi" w:cstheme="majorBidi"/>
          <w:sz w:val="24"/>
          <w:szCs w:val="24"/>
        </w:rPr>
        <w:t xml:space="preserve">analysis was performed on variables with a </w:t>
      </w:r>
      <w:r w:rsidRPr="00427784">
        <w:rPr>
          <w:rFonts w:asciiTheme="majorBidi" w:hAnsiTheme="majorBidi" w:cstheme="majorBidi"/>
          <w:sz w:val="24"/>
          <w:szCs w:val="24"/>
        </w:rPr>
        <w:t xml:space="preserve">P </w:t>
      </w:r>
      <w:r w:rsidRPr="00427784">
        <w:rPr>
          <w:rFonts w:asciiTheme="majorBidi" w:hAnsiTheme="majorBidi" w:cstheme="majorBidi"/>
          <w:sz w:val="24"/>
          <w:szCs w:val="24"/>
        </w:rPr>
        <w:t>value of &lt;0.05 from univariate analysis.</w:t>
      </w:r>
    </w:p>
    <w:p w:rsidR="00427784" w:rsidRPr="00427784" w:rsidRDefault="00427784" w:rsidP="008829E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27784" w:rsidRPr="00427784" w:rsidRDefault="00427784" w:rsidP="00D82A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27784">
        <w:rPr>
          <w:rFonts w:asciiTheme="majorBidi" w:hAnsiTheme="majorBidi" w:cstheme="majorBidi"/>
          <w:sz w:val="24"/>
          <w:szCs w:val="24"/>
        </w:rPr>
        <w:t>Results: Sixty-eight episodes of sepsis (ages 0e54 days, median 7 days; 34 fe</w:t>
      </w:r>
      <w:r w:rsidRPr="00427784">
        <w:rPr>
          <w:rFonts w:asciiTheme="majorBidi" w:hAnsiTheme="majorBidi" w:cstheme="majorBidi"/>
          <w:sz w:val="24"/>
          <w:szCs w:val="24"/>
        </w:rPr>
        <w:t xml:space="preserve">male; 81% premature) </w:t>
      </w:r>
      <w:r w:rsidRPr="00427784">
        <w:rPr>
          <w:rFonts w:asciiTheme="majorBidi" w:hAnsiTheme="majorBidi" w:cstheme="majorBidi"/>
          <w:sz w:val="24"/>
          <w:szCs w:val="24"/>
        </w:rPr>
        <w:t xml:space="preserve">were caused by Gram-negative bacteria (n 42; 62%), Gram-positive bacteria (n </w:t>
      </w:r>
      <w:r w:rsidRPr="00427784">
        <w:rPr>
          <w:rFonts w:asciiTheme="majorBidi" w:hAnsiTheme="majorBidi" w:cstheme="majorBidi"/>
          <w:sz w:val="24"/>
          <w:szCs w:val="24"/>
        </w:rPr>
        <w:t xml:space="preserve">21; </w:t>
      </w:r>
      <w:r w:rsidRPr="00427784">
        <w:rPr>
          <w:rFonts w:asciiTheme="majorBidi" w:hAnsiTheme="majorBidi" w:cstheme="majorBidi"/>
          <w:sz w:val="24"/>
          <w:szCs w:val="24"/>
        </w:rPr>
        <w:t>31%), or Candida (</w:t>
      </w:r>
      <w:r w:rsidR="00D82AD9">
        <w:rPr>
          <w:rFonts w:asciiTheme="majorBidi" w:hAnsiTheme="majorBidi" w:cstheme="majorBidi"/>
          <w:sz w:val="24"/>
          <w:szCs w:val="24"/>
        </w:rPr>
        <w:t xml:space="preserve">n </w:t>
      </w:r>
      <w:r w:rsidRPr="00427784">
        <w:rPr>
          <w:rFonts w:asciiTheme="majorBidi" w:hAnsiTheme="majorBidi" w:cstheme="majorBidi"/>
          <w:sz w:val="24"/>
          <w:szCs w:val="24"/>
        </w:rPr>
        <w:t xml:space="preserve">5; 7%). The </w:t>
      </w:r>
      <w:r w:rsidRPr="00427784">
        <w:rPr>
          <w:rFonts w:asciiTheme="majorBidi" w:hAnsiTheme="majorBidi" w:cstheme="majorBidi"/>
          <w:sz w:val="24"/>
          <w:szCs w:val="24"/>
        </w:rPr>
        <w:t xml:space="preserve">most common organisms that were </w:t>
      </w:r>
      <w:r w:rsidRPr="00427784">
        <w:rPr>
          <w:rFonts w:asciiTheme="majorBidi" w:hAnsiTheme="majorBidi" w:cstheme="majorBidi"/>
          <w:sz w:val="24"/>
          <w:szCs w:val="24"/>
        </w:rPr>
        <w:t xml:space="preserve">isolated were </w:t>
      </w:r>
      <w:r w:rsidRPr="00427784">
        <w:rPr>
          <w:rFonts w:asciiTheme="majorBidi" w:hAnsiTheme="majorBidi" w:cstheme="majorBidi"/>
          <w:sz w:val="24"/>
          <w:szCs w:val="24"/>
        </w:rPr>
        <w:t xml:space="preserve">Acinetobacter </w:t>
      </w:r>
      <w:r w:rsidRPr="00427784">
        <w:rPr>
          <w:rFonts w:asciiTheme="majorBidi" w:hAnsiTheme="majorBidi" w:cstheme="majorBidi"/>
          <w:sz w:val="24"/>
          <w:szCs w:val="24"/>
        </w:rPr>
        <w:t xml:space="preserve">baumannii (27%), </w:t>
      </w:r>
      <w:proofErr w:type="spellStart"/>
      <w:r w:rsidRPr="00427784">
        <w:rPr>
          <w:rFonts w:asciiTheme="majorBidi" w:hAnsiTheme="majorBidi" w:cstheme="majorBidi"/>
          <w:sz w:val="24"/>
          <w:szCs w:val="24"/>
        </w:rPr>
        <w:t>Klebsiella</w:t>
      </w:r>
      <w:proofErr w:type="spellEnd"/>
      <w:r w:rsidRPr="00427784">
        <w:rPr>
          <w:rFonts w:asciiTheme="majorBidi" w:hAnsiTheme="majorBidi" w:cstheme="majorBidi"/>
          <w:sz w:val="24"/>
          <w:szCs w:val="24"/>
        </w:rPr>
        <w:t xml:space="preserve"> pneumoniae </w:t>
      </w:r>
      <w:r w:rsidRPr="00427784">
        <w:rPr>
          <w:rFonts w:asciiTheme="majorBidi" w:hAnsiTheme="majorBidi" w:cstheme="majorBidi"/>
          <w:sz w:val="24"/>
          <w:szCs w:val="24"/>
        </w:rPr>
        <w:t xml:space="preserve">(22%), </w:t>
      </w:r>
      <w:proofErr w:type="gramStart"/>
      <w:r w:rsidRPr="00427784">
        <w:rPr>
          <w:rFonts w:asciiTheme="majorBidi" w:hAnsiTheme="majorBidi" w:cstheme="majorBidi"/>
          <w:sz w:val="24"/>
          <w:szCs w:val="24"/>
        </w:rPr>
        <w:t>coagulase</w:t>
      </w:r>
      <w:proofErr w:type="gramEnd"/>
      <w:r w:rsidRPr="00427784">
        <w:rPr>
          <w:rFonts w:asciiTheme="majorBidi" w:hAnsiTheme="majorBidi" w:cstheme="majorBidi"/>
          <w:sz w:val="24"/>
          <w:szCs w:val="24"/>
        </w:rPr>
        <w:t xml:space="preserve"> negative staphylococcus </w:t>
      </w:r>
      <w:r w:rsidRPr="00427784">
        <w:rPr>
          <w:rFonts w:asciiTheme="majorBidi" w:hAnsiTheme="majorBidi" w:cstheme="majorBidi"/>
          <w:sz w:val="24"/>
          <w:szCs w:val="24"/>
        </w:rPr>
        <w:t>(CoNS) (18%), group B streptococcus (10%), and E</w:t>
      </w:r>
      <w:r w:rsidRPr="00427784">
        <w:rPr>
          <w:rFonts w:asciiTheme="majorBidi" w:hAnsiTheme="majorBidi" w:cstheme="majorBidi"/>
          <w:sz w:val="24"/>
          <w:szCs w:val="24"/>
        </w:rPr>
        <w:t xml:space="preserve">scherichia </w:t>
      </w:r>
      <w:r w:rsidRPr="00427784">
        <w:rPr>
          <w:rFonts w:asciiTheme="majorBidi" w:hAnsiTheme="majorBidi" w:cstheme="majorBidi"/>
          <w:sz w:val="24"/>
          <w:szCs w:val="24"/>
        </w:rPr>
        <w:t xml:space="preserve">coli </w:t>
      </w:r>
      <w:r w:rsidRPr="00427784">
        <w:rPr>
          <w:rFonts w:asciiTheme="majorBidi" w:hAnsiTheme="majorBidi" w:cstheme="majorBidi"/>
          <w:sz w:val="24"/>
          <w:szCs w:val="24"/>
        </w:rPr>
        <w:t>(6%). Compared with non-</w:t>
      </w:r>
      <w:r w:rsidRPr="00427784">
        <w:rPr>
          <w:rFonts w:asciiTheme="majorBidi" w:hAnsiTheme="majorBidi" w:cstheme="majorBidi"/>
          <w:sz w:val="24"/>
          <w:szCs w:val="24"/>
        </w:rPr>
        <w:t>MDROs (n 16; 31%, excluding CoNS and Candida</w:t>
      </w:r>
      <w:r w:rsidRPr="00427784">
        <w:rPr>
          <w:rFonts w:asciiTheme="majorBidi" w:hAnsiTheme="majorBidi" w:cstheme="majorBidi"/>
          <w:sz w:val="24"/>
          <w:szCs w:val="24"/>
        </w:rPr>
        <w:t xml:space="preserve">), </w:t>
      </w:r>
      <w:r w:rsidRPr="00427784">
        <w:rPr>
          <w:rFonts w:asciiTheme="majorBidi" w:hAnsiTheme="majorBidi" w:cstheme="majorBidi"/>
          <w:sz w:val="24"/>
          <w:szCs w:val="24"/>
        </w:rPr>
        <w:t>MDROs (n 35; 69%) were associated with</w:t>
      </w:r>
      <w:r w:rsidRPr="00427784">
        <w:rPr>
          <w:rFonts w:asciiTheme="majorBidi" w:hAnsiTheme="majorBidi" w:cstheme="majorBidi"/>
          <w:sz w:val="24"/>
          <w:szCs w:val="24"/>
        </w:rPr>
        <w:t xml:space="preserve"> </w:t>
      </w:r>
      <w:r w:rsidRPr="00427784">
        <w:rPr>
          <w:rFonts w:asciiTheme="majorBidi" w:hAnsiTheme="majorBidi" w:cstheme="majorBidi"/>
          <w:sz w:val="24"/>
          <w:szCs w:val="24"/>
        </w:rPr>
        <w:t xml:space="preserve">higher mortality (P </w:t>
      </w:r>
      <w:r w:rsidRPr="00427784">
        <w:rPr>
          <w:rFonts w:asciiTheme="majorBidi" w:hAnsiTheme="majorBidi" w:cstheme="majorBidi"/>
          <w:sz w:val="24"/>
          <w:szCs w:val="24"/>
        </w:rPr>
        <w:t xml:space="preserve">0.002) and more delay </w:t>
      </w:r>
      <w:r w:rsidRPr="00427784">
        <w:rPr>
          <w:rFonts w:asciiTheme="majorBidi" w:hAnsiTheme="majorBidi" w:cstheme="majorBidi"/>
          <w:sz w:val="24"/>
          <w:szCs w:val="24"/>
        </w:rPr>
        <w:t>in providing</w:t>
      </w:r>
      <w:r w:rsidRPr="00427784">
        <w:rPr>
          <w:rFonts w:asciiTheme="majorBidi" w:hAnsiTheme="majorBidi" w:cstheme="majorBidi"/>
          <w:sz w:val="24"/>
          <w:szCs w:val="24"/>
        </w:rPr>
        <w:t xml:space="preserve"> targeted antimicrobial therapy </w:t>
      </w:r>
      <w:r w:rsidRPr="00427784">
        <w:rPr>
          <w:rFonts w:asciiTheme="majorBidi" w:hAnsiTheme="majorBidi" w:cstheme="majorBidi"/>
          <w:sz w:val="24"/>
          <w:szCs w:val="24"/>
        </w:rPr>
        <w:t xml:space="preserve">(P 0.002) (based on antimicrobial susceptibility tests). Sepsis due </w:t>
      </w:r>
      <w:r w:rsidRPr="00427784">
        <w:rPr>
          <w:rFonts w:asciiTheme="majorBidi" w:hAnsiTheme="majorBidi" w:cstheme="majorBidi"/>
          <w:sz w:val="24"/>
          <w:szCs w:val="24"/>
        </w:rPr>
        <w:t xml:space="preserve">to the most resistant organisms </w:t>
      </w:r>
      <w:r w:rsidRPr="00427784">
        <w:rPr>
          <w:rFonts w:asciiTheme="majorBidi" w:hAnsiTheme="majorBidi" w:cstheme="majorBidi"/>
          <w:sz w:val="24"/>
          <w:szCs w:val="24"/>
        </w:rPr>
        <w:t xml:space="preserve">(A. baumannii and K. pneumoniae Carbapenemase [KPC]-producing bacteria, n </w:t>
      </w:r>
      <w:r w:rsidRPr="00427784">
        <w:rPr>
          <w:rFonts w:asciiTheme="majorBidi" w:hAnsiTheme="majorBidi" w:cstheme="majorBidi"/>
          <w:sz w:val="24"/>
          <w:szCs w:val="24"/>
        </w:rPr>
        <w:t xml:space="preserve">20; </w:t>
      </w:r>
      <w:r w:rsidRPr="00427784">
        <w:rPr>
          <w:rFonts w:asciiTheme="majorBidi" w:hAnsiTheme="majorBidi" w:cstheme="majorBidi"/>
          <w:sz w:val="24"/>
          <w:szCs w:val="24"/>
        </w:rPr>
        <w:t>39%) was associated with higher mortality (P 0.001) and signifi</w:t>
      </w:r>
      <w:r w:rsidRPr="00427784">
        <w:rPr>
          <w:rFonts w:asciiTheme="majorBidi" w:hAnsiTheme="majorBidi" w:cstheme="majorBidi"/>
          <w:sz w:val="24"/>
          <w:szCs w:val="24"/>
        </w:rPr>
        <w:t xml:space="preserve">cantly associated with exposure </w:t>
      </w:r>
      <w:r w:rsidRPr="00427784">
        <w:rPr>
          <w:rFonts w:asciiTheme="majorBidi" w:hAnsiTheme="majorBidi" w:cstheme="majorBidi"/>
          <w:sz w:val="24"/>
          <w:szCs w:val="24"/>
        </w:rPr>
        <w:t xml:space="preserve">to carbapenem and vancomycin before onset of sepsis (cases exposed </w:t>
      </w:r>
      <w:r w:rsidRPr="00427784">
        <w:rPr>
          <w:rFonts w:asciiTheme="majorBidi" w:hAnsiTheme="majorBidi" w:cstheme="majorBidi"/>
          <w:sz w:val="24"/>
          <w:szCs w:val="24"/>
        </w:rPr>
        <w:t xml:space="preserve">13/20; 65%, </w:t>
      </w:r>
      <w:r w:rsidRPr="00427784">
        <w:rPr>
          <w:rFonts w:asciiTheme="majorBidi" w:hAnsiTheme="majorBidi" w:cstheme="majorBidi"/>
          <w:sz w:val="24"/>
          <w:szCs w:val="24"/>
        </w:rPr>
        <w:t xml:space="preserve">P &lt; </w:t>
      </w:r>
      <w:r w:rsidRPr="00427784">
        <w:rPr>
          <w:rFonts w:asciiTheme="majorBidi" w:hAnsiTheme="majorBidi" w:cstheme="majorBidi"/>
          <w:sz w:val="24"/>
          <w:szCs w:val="24"/>
        </w:rPr>
        <w:t>0.001).</w:t>
      </w:r>
    </w:p>
    <w:p w:rsidR="00427784" w:rsidRPr="00427784" w:rsidRDefault="00427784" w:rsidP="008829E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47957" w:rsidRPr="00427784" w:rsidRDefault="00427784" w:rsidP="008829E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27784">
        <w:rPr>
          <w:rFonts w:asciiTheme="majorBidi" w:hAnsiTheme="majorBidi" w:cstheme="majorBidi"/>
          <w:sz w:val="24"/>
          <w:szCs w:val="24"/>
        </w:rPr>
        <w:t xml:space="preserve">Conclusion: MDROs are the most common cause of sepsis at our NICU and are </w:t>
      </w:r>
      <w:r w:rsidRPr="00427784">
        <w:rPr>
          <w:rFonts w:asciiTheme="majorBidi" w:hAnsiTheme="majorBidi" w:cstheme="majorBidi"/>
          <w:sz w:val="24"/>
          <w:szCs w:val="24"/>
        </w:rPr>
        <w:t xml:space="preserve">associated with </w:t>
      </w:r>
      <w:r w:rsidRPr="00427784">
        <w:rPr>
          <w:rFonts w:asciiTheme="majorBidi" w:hAnsiTheme="majorBidi" w:cstheme="majorBidi"/>
          <w:sz w:val="24"/>
          <w:szCs w:val="24"/>
        </w:rPr>
        <w:t xml:space="preserve">higher mortality compared with </w:t>
      </w:r>
      <w:r w:rsidRPr="00427784">
        <w:rPr>
          <w:rFonts w:asciiTheme="majorBidi" w:hAnsiTheme="majorBidi" w:cstheme="majorBidi"/>
          <w:sz w:val="24"/>
          <w:szCs w:val="24"/>
        </w:rPr>
        <w:t xml:space="preserve">non-MDROs. Previous exposure to carbapenem and vancomycin </w:t>
      </w:r>
      <w:r w:rsidRPr="00427784">
        <w:rPr>
          <w:rFonts w:asciiTheme="majorBidi" w:hAnsiTheme="majorBidi" w:cstheme="majorBidi"/>
          <w:sz w:val="24"/>
          <w:szCs w:val="24"/>
        </w:rPr>
        <w:t>was associated with sepsis caused by the most resistant organisms</w:t>
      </w:r>
      <w:r w:rsidR="00D82AD9">
        <w:rPr>
          <w:rFonts w:asciiTheme="majorBidi" w:hAnsiTheme="majorBidi" w:cstheme="majorBidi"/>
          <w:sz w:val="24"/>
          <w:szCs w:val="24"/>
        </w:rPr>
        <w:t>.</w:t>
      </w:r>
      <w:bookmarkStart w:id="0" w:name="_GoBack"/>
      <w:bookmarkEnd w:id="0"/>
    </w:p>
    <w:sectPr w:rsidR="00147957" w:rsidRPr="0042778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9F"/>
    <w:rsid w:val="0001536E"/>
    <w:rsid w:val="000818D3"/>
    <w:rsid w:val="000B4C9C"/>
    <w:rsid w:val="000B5ED6"/>
    <w:rsid w:val="000D4CD2"/>
    <w:rsid w:val="00122D04"/>
    <w:rsid w:val="00135E65"/>
    <w:rsid w:val="00147957"/>
    <w:rsid w:val="001515AF"/>
    <w:rsid w:val="00162C7D"/>
    <w:rsid w:val="001643A9"/>
    <w:rsid w:val="001A1EC0"/>
    <w:rsid w:val="001B7675"/>
    <w:rsid w:val="0020361A"/>
    <w:rsid w:val="0022755D"/>
    <w:rsid w:val="00246546"/>
    <w:rsid w:val="002518C8"/>
    <w:rsid w:val="002F09D3"/>
    <w:rsid w:val="003356CC"/>
    <w:rsid w:val="003420AA"/>
    <w:rsid w:val="00363375"/>
    <w:rsid w:val="00393D82"/>
    <w:rsid w:val="003C2566"/>
    <w:rsid w:val="004143E3"/>
    <w:rsid w:val="00427784"/>
    <w:rsid w:val="00434152"/>
    <w:rsid w:val="00452680"/>
    <w:rsid w:val="00464D5C"/>
    <w:rsid w:val="004A4D09"/>
    <w:rsid w:val="004C3620"/>
    <w:rsid w:val="004D3983"/>
    <w:rsid w:val="005232B6"/>
    <w:rsid w:val="0069350B"/>
    <w:rsid w:val="006D1517"/>
    <w:rsid w:val="006D3410"/>
    <w:rsid w:val="00712C9F"/>
    <w:rsid w:val="00780BAB"/>
    <w:rsid w:val="007E55D9"/>
    <w:rsid w:val="007F794B"/>
    <w:rsid w:val="0084302B"/>
    <w:rsid w:val="00845436"/>
    <w:rsid w:val="008829E3"/>
    <w:rsid w:val="008D7B05"/>
    <w:rsid w:val="00974C8A"/>
    <w:rsid w:val="009F0398"/>
    <w:rsid w:val="009F65D0"/>
    <w:rsid w:val="00A9264A"/>
    <w:rsid w:val="00B03E7D"/>
    <w:rsid w:val="00B4136F"/>
    <w:rsid w:val="00B8313E"/>
    <w:rsid w:val="00B86113"/>
    <w:rsid w:val="00BC0B8E"/>
    <w:rsid w:val="00BC3CE5"/>
    <w:rsid w:val="00C36E9A"/>
    <w:rsid w:val="00C40B39"/>
    <w:rsid w:val="00C50A94"/>
    <w:rsid w:val="00C51714"/>
    <w:rsid w:val="00D82AD9"/>
    <w:rsid w:val="00DA29AA"/>
    <w:rsid w:val="00DE52EC"/>
    <w:rsid w:val="00E239D2"/>
    <w:rsid w:val="00E34E55"/>
    <w:rsid w:val="00E749E5"/>
    <w:rsid w:val="00EB2BE0"/>
    <w:rsid w:val="00ED22EE"/>
    <w:rsid w:val="00EF7602"/>
    <w:rsid w:val="00F01A9A"/>
    <w:rsid w:val="00FE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30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0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84302B"/>
    <w:rPr>
      <w:i/>
      <w:iCs/>
    </w:rPr>
  </w:style>
  <w:style w:type="character" w:customStyle="1" w:styleId="apple-converted-space">
    <w:name w:val="apple-converted-space"/>
    <w:basedOn w:val="DefaultParagraphFont"/>
    <w:rsid w:val="008430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30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0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84302B"/>
    <w:rPr>
      <w:i/>
      <w:iCs/>
    </w:rPr>
  </w:style>
  <w:style w:type="character" w:customStyle="1" w:styleId="apple-converted-space">
    <w:name w:val="apple-converted-space"/>
    <w:basedOn w:val="DefaultParagraphFont"/>
    <w:rsid w:val="00843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1A4DA-BD28-401F-8A9E-DB8B034FF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dawoood yusef</cp:lastModifiedBy>
  <cp:revision>2</cp:revision>
  <dcterms:created xsi:type="dcterms:W3CDTF">2017-07-13T06:52:00Z</dcterms:created>
  <dcterms:modified xsi:type="dcterms:W3CDTF">2017-07-13T06:52:00Z</dcterms:modified>
</cp:coreProperties>
</file>