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P479F8A" w:hAnsi="AdvP479F8A" w:cs="AdvP479F8A"/>
          <w:color w:val="231F20"/>
          <w:sz w:val="32"/>
          <w:szCs w:val="32"/>
          <w:lang w:val="en-US"/>
        </w:rPr>
      </w:pPr>
      <w:r w:rsidRPr="00AB0B92">
        <w:rPr>
          <w:rFonts w:ascii="AdvMyriadPro-SB" w:hAnsi="AdvMyriadPro-SB" w:cs="AdvMyriadPro-SB"/>
          <w:color w:val="231F20"/>
          <w:sz w:val="32"/>
          <w:szCs w:val="32"/>
          <w:lang w:val="en-US"/>
        </w:rPr>
        <w:t>Neonatal anthropometry at 3400 m above sea level compared with</w:t>
      </w:r>
      <w:r>
        <w:rPr>
          <w:rFonts w:ascii="AdvMyriadPro-SB" w:hAnsi="AdvMyriadPro-SB" w:cs="AdvMyriadPro-SB"/>
          <w:color w:val="231F20"/>
          <w:sz w:val="32"/>
          <w:szCs w:val="32"/>
          <w:lang w:val="en-US"/>
        </w:rPr>
        <w:t xml:space="preserve"> </w:t>
      </w:r>
      <w:r w:rsidRPr="00AB0B92">
        <w:rPr>
          <w:rFonts w:ascii="AdvMyriadPro-SB" w:hAnsi="AdvMyriadPro-SB" w:cs="AdvMyriadPro-SB"/>
          <w:color w:val="231F20"/>
          <w:sz w:val="32"/>
          <w:szCs w:val="32"/>
          <w:lang w:val="en-US"/>
        </w:rPr>
        <w:t>INTERGROWTH 21st standards</w:t>
      </w: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P479F8A" w:hAnsi="AdvP479F8A" w:cs="AdvP479F8A"/>
          <w:color w:val="231F20"/>
          <w:sz w:val="32"/>
          <w:szCs w:val="32"/>
          <w:lang w:val="en-US"/>
        </w:rPr>
      </w:pP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MyriadPro-R" w:hAnsi="AdvMyriadPro-R" w:cs="AdvMyriadPro-R"/>
          <w:color w:val="231F20"/>
          <w:sz w:val="14"/>
          <w:szCs w:val="14"/>
          <w:vertAlign w:val="superscript"/>
        </w:rPr>
      </w:pPr>
      <w:r>
        <w:rPr>
          <w:rFonts w:ascii="AdvMyriadPro-R" w:hAnsi="AdvMyriadPro-R" w:cs="AdvMyriadPro-R"/>
          <w:color w:val="231F20"/>
          <w:sz w:val="21"/>
          <w:szCs w:val="21"/>
        </w:rPr>
        <w:t>Wilfredo Villamonte-Calanche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1</w:t>
      </w:r>
      <w:r>
        <w:rPr>
          <w:rFonts w:ascii="AdvMyriadPro-R" w:hAnsi="AdvMyriadPro-R" w:cs="AdvMyriadPro-R"/>
          <w:color w:val="231F20"/>
          <w:sz w:val="21"/>
          <w:szCs w:val="21"/>
        </w:rPr>
        <w:t>, Federico Manrique-Corazao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2</w:t>
      </w:r>
      <w:r>
        <w:rPr>
          <w:rFonts w:ascii="AdvMyriadPro-R" w:hAnsi="AdvMyriadPro-R" w:cs="AdvMyriadPro-R"/>
          <w:color w:val="231F20"/>
          <w:sz w:val="21"/>
          <w:szCs w:val="21"/>
        </w:rPr>
        <w:t xml:space="preserve">, </w:t>
      </w:r>
      <w:proofErr w:type="spellStart"/>
      <w:r>
        <w:rPr>
          <w:rFonts w:ascii="AdvMyriadPro-R" w:hAnsi="AdvMyriadPro-R" w:cs="AdvMyriadPro-R"/>
          <w:color w:val="231F20"/>
          <w:sz w:val="21"/>
          <w:szCs w:val="21"/>
        </w:rPr>
        <w:t>Maria</w:t>
      </w:r>
      <w:proofErr w:type="spellEnd"/>
      <w:r>
        <w:rPr>
          <w:rFonts w:ascii="AdvMyriadPro-R" w:hAnsi="AdvMyriadPro-R" w:cs="AdvMyriadPro-R"/>
          <w:color w:val="231F20"/>
          <w:sz w:val="21"/>
          <w:szCs w:val="21"/>
        </w:rPr>
        <w:t xml:space="preserve"> Jerı´-Palomino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1</w:t>
      </w:r>
      <w:proofErr w:type="gramStart"/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,2</w:t>
      </w:r>
      <w:proofErr w:type="gramEnd"/>
      <w:r>
        <w:rPr>
          <w:rFonts w:ascii="AdvMyriadPro-R" w:hAnsi="AdvMyriadPro-R" w:cs="AdvMyriadPro-R"/>
          <w:color w:val="231F20"/>
          <w:sz w:val="21"/>
          <w:szCs w:val="21"/>
        </w:rPr>
        <w:t>, Cleto De-La-Torre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1</w:t>
      </w:r>
      <w:r>
        <w:rPr>
          <w:rFonts w:ascii="AdvMyriadPro-R" w:hAnsi="AdvMyriadPro-R" w:cs="AdvMyriadPro-R"/>
          <w:color w:val="231F20"/>
          <w:sz w:val="21"/>
          <w:szCs w:val="21"/>
        </w:rPr>
        <w:t>,</w:t>
      </w:r>
      <w:r>
        <w:rPr>
          <w:rFonts w:ascii="AdvMyriadPro-R" w:hAnsi="AdvMyriadPro-R" w:cs="AdvMyriadPro-R"/>
          <w:color w:val="231F20"/>
          <w:sz w:val="21"/>
          <w:szCs w:val="21"/>
        </w:rPr>
        <w:t xml:space="preserve"> </w:t>
      </w:r>
      <w:r w:rsidRPr="00AB0B92">
        <w:rPr>
          <w:rFonts w:ascii="AdvMyriadPro-R" w:hAnsi="AdvMyriadPro-R" w:cs="AdvMyriadPro-R"/>
          <w:color w:val="231F20"/>
          <w:sz w:val="21"/>
          <w:szCs w:val="21"/>
        </w:rPr>
        <w:t xml:space="preserve">Joel </w:t>
      </w:r>
      <w:proofErr w:type="spellStart"/>
      <w:r w:rsidRPr="00AB0B92">
        <w:rPr>
          <w:rFonts w:ascii="AdvMyriadPro-R" w:hAnsi="AdvMyriadPro-R" w:cs="AdvMyriadPro-R"/>
          <w:color w:val="231F20"/>
          <w:sz w:val="21"/>
          <w:szCs w:val="21"/>
        </w:rPr>
        <w:t>Sack</w:t>
      </w:r>
      <w:proofErr w:type="spellEnd"/>
      <w:r w:rsidRPr="00AB0B92">
        <w:rPr>
          <w:rFonts w:ascii="AdvMyriadPro-R" w:hAnsi="AdvMyriadPro-R" w:cs="AdvMyriadPro-R"/>
          <w:color w:val="231F20"/>
          <w:sz w:val="21"/>
          <w:szCs w:val="21"/>
        </w:rPr>
        <w:t xml:space="preserve"> Roque-Roque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1</w:t>
      </w:r>
      <w:r w:rsidRPr="00AB0B92">
        <w:rPr>
          <w:rFonts w:ascii="AdvMyriadPro-R" w:hAnsi="AdvMyriadPro-R" w:cs="AdvMyriadPro-R"/>
          <w:color w:val="231F20"/>
          <w:sz w:val="21"/>
          <w:szCs w:val="21"/>
        </w:rPr>
        <w:t xml:space="preserve">, and </w:t>
      </w:r>
      <w:proofErr w:type="spellStart"/>
      <w:r w:rsidRPr="00AB0B92">
        <w:rPr>
          <w:rFonts w:ascii="AdvMyriadPro-R" w:hAnsi="AdvMyriadPro-R" w:cs="AdvMyriadPro-R"/>
          <w:color w:val="231F20"/>
          <w:sz w:val="21"/>
          <w:szCs w:val="21"/>
        </w:rPr>
        <w:t>Nathan</w:t>
      </w:r>
      <w:proofErr w:type="spellEnd"/>
      <w:r w:rsidRPr="00AB0B92">
        <w:rPr>
          <w:rFonts w:ascii="AdvMyriadPro-R" w:hAnsi="AdvMyriadPro-R" w:cs="AdvMyriadPro-R"/>
          <w:color w:val="231F20"/>
          <w:sz w:val="21"/>
          <w:szCs w:val="21"/>
        </w:rPr>
        <w:t xml:space="preserve"> Andrew Wilson</w:t>
      </w:r>
      <w:r w:rsidRPr="00AB0B92">
        <w:rPr>
          <w:rFonts w:ascii="AdvMyriadPro-R" w:hAnsi="AdvMyriadPro-R" w:cs="AdvMyriadPro-R"/>
          <w:color w:val="231F20"/>
          <w:sz w:val="14"/>
          <w:szCs w:val="14"/>
          <w:vertAlign w:val="superscript"/>
        </w:rPr>
        <w:t>3</w:t>
      </w: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MyriadPro-R" w:hAnsi="AdvMyriadPro-R" w:cs="AdvMyriadPro-R"/>
          <w:color w:val="231F20"/>
          <w:sz w:val="14"/>
          <w:szCs w:val="14"/>
        </w:rPr>
      </w:pPr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MyriadPro-I" w:hAnsi="AdvMyriadPro-I" w:cs="AdvMyriadPro-I"/>
          <w:color w:val="231F20"/>
          <w:sz w:val="17"/>
          <w:szCs w:val="17"/>
        </w:rPr>
      </w:pPr>
      <w:r>
        <w:rPr>
          <w:rFonts w:ascii="AdvMyriadPro-I" w:hAnsi="AdvMyriadPro-I" w:cs="AdvMyriadPro-I"/>
          <w:color w:val="231F20"/>
          <w:sz w:val="11"/>
          <w:szCs w:val="11"/>
        </w:rPr>
        <w:t>1</w:t>
      </w:r>
      <w:r>
        <w:rPr>
          <w:rFonts w:ascii="AdvMyriadPro-I" w:hAnsi="AdvMyriadPro-I" w:cs="AdvMyriadPro-I"/>
          <w:color w:val="231F20"/>
          <w:sz w:val="17"/>
          <w:szCs w:val="17"/>
        </w:rPr>
        <w:t>Centro de Investigación</w:t>
      </w:r>
      <w:r>
        <w:rPr>
          <w:rFonts w:ascii="AdvMyriadPro-I" w:hAnsi="AdvMyriadPro-I" w:cs="AdvMyriadPro-I"/>
          <w:color w:val="231F20"/>
          <w:sz w:val="17"/>
          <w:szCs w:val="17"/>
        </w:rPr>
        <w:t xml:space="preserve"> de Medicina Materno-Fetal de Altura (CENIMFA), Servicios de Salud CENIMFA SAC, Cusco, </w:t>
      </w:r>
      <w:proofErr w:type="spellStart"/>
      <w:r>
        <w:rPr>
          <w:rFonts w:ascii="AdvMyriadPro-I" w:hAnsi="AdvMyriadPro-I" w:cs="AdvMyriadPro-I"/>
          <w:color w:val="231F20"/>
          <w:sz w:val="17"/>
          <w:szCs w:val="17"/>
        </w:rPr>
        <w:t>Peru</w:t>
      </w:r>
      <w:proofErr w:type="spellEnd"/>
      <w:r>
        <w:rPr>
          <w:rFonts w:ascii="AdvMyriadPro-I" w:hAnsi="AdvMyriadPro-I" w:cs="AdvMyriadPro-I"/>
          <w:color w:val="231F20"/>
          <w:sz w:val="17"/>
          <w:szCs w:val="17"/>
        </w:rPr>
        <w:t>,</w:t>
      </w:r>
    </w:p>
    <w:p w:rsidR="00AB0B92" w:rsidRPr="00853935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dvMyriadPro-I" w:hAnsi="AdvMyriadPro-I" w:cs="AdvMyriadPro-I"/>
          <w:color w:val="231F20"/>
          <w:sz w:val="17"/>
          <w:szCs w:val="17"/>
          <w:lang w:val="en-US"/>
        </w:rPr>
      </w:pPr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 xml:space="preserve"> </w:t>
      </w:r>
      <w:r w:rsidRPr="00853935">
        <w:rPr>
          <w:rFonts w:ascii="AdvMyriadPro-I" w:hAnsi="AdvMyriadPro-I" w:cs="AdvMyriadPro-I"/>
          <w:color w:val="231F20"/>
          <w:sz w:val="11"/>
          <w:szCs w:val="11"/>
          <w:lang w:val="en-US"/>
        </w:rPr>
        <w:t>2</w:t>
      </w:r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>Department of Pediatrics,</w:t>
      </w:r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 xml:space="preserve"> </w:t>
      </w:r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 xml:space="preserve">Obstetrics and Gynecology, Adolfo Guevara </w:t>
      </w:r>
      <w:proofErr w:type="spellStart"/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>Velazco</w:t>
      </w:r>
      <w:proofErr w:type="spellEnd"/>
      <w:r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 xml:space="preserve"> National Hospi</w:t>
      </w:r>
      <w:r w:rsidR="00853935" w:rsidRPr="00853935">
        <w:rPr>
          <w:rFonts w:ascii="AdvMyriadPro-I" w:hAnsi="AdvMyriadPro-I" w:cs="AdvMyriadPro-I"/>
          <w:color w:val="231F20"/>
          <w:sz w:val="17"/>
          <w:szCs w:val="17"/>
          <w:lang w:val="en-US"/>
        </w:rPr>
        <w:t>tal of ESSALUD, Cusco, Peru,</w:t>
      </w: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</w:rPr>
      </w:pPr>
      <w:r>
        <w:rPr>
          <w:rFonts w:ascii="AdvMyriadPro-I" w:hAnsi="AdvMyriadPro-I" w:cs="AdvMyriadPro-I"/>
          <w:color w:val="231F20"/>
          <w:sz w:val="11"/>
          <w:szCs w:val="11"/>
        </w:rPr>
        <w:t>3</w:t>
      </w:r>
      <w:r>
        <w:rPr>
          <w:rFonts w:ascii="AdvMyriadPro-I" w:hAnsi="AdvMyriadPro-I" w:cs="AdvMyriadPro-I"/>
          <w:color w:val="231F20"/>
          <w:sz w:val="17"/>
          <w:szCs w:val="17"/>
        </w:rPr>
        <w:t xml:space="preserve">Department of </w:t>
      </w:r>
      <w:proofErr w:type="spellStart"/>
      <w:r>
        <w:rPr>
          <w:rFonts w:ascii="AdvMyriadPro-I" w:hAnsi="AdvMyriadPro-I" w:cs="AdvMyriadPro-I"/>
          <w:color w:val="231F20"/>
          <w:sz w:val="17"/>
          <w:szCs w:val="17"/>
        </w:rPr>
        <w:t>Pediatrics</w:t>
      </w:r>
      <w:proofErr w:type="spellEnd"/>
      <w:r>
        <w:rPr>
          <w:rFonts w:ascii="AdvMyriadPro-I" w:hAnsi="AdvMyriadPro-I" w:cs="AdvMyriadPro-I"/>
          <w:color w:val="231F20"/>
          <w:sz w:val="17"/>
          <w:szCs w:val="17"/>
        </w:rPr>
        <w:t>, La Fuente Centro de</w:t>
      </w:r>
      <w:r>
        <w:rPr>
          <w:rFonts w:ascii="AdvMyriadPro-I" w:hAnsi="AdvMyriadPro-I" w:cs="AdvMyriadPro-I"/>
          <w:color w:val="231F20"/>
          <w:sz w:val="17"/>
          <w:szCs w:val="17"/>
        </w:rPr>
        <w:t xml:space="preserve"> </w:t>
      </w:r>
      <w:r>
        <w:rPr>
          <w:rFonts w:ascii="AdvMyriadPro-I" w:hAnsi="AdvMyriadPro-I" w:cs="AdvMyriadPro-I"/>
          <w:color w:val="231F20"/>
          <w:sz w:val="17"/>
          <w:szCs w:val="17"/>
        </w:rPr>
        <w:t xml:space="preserve">Salud Integral, Cusco, </w:t>
      </w:r>
      <w:proofErr w:type="spellStart"/>
      <w:r>
        <w:rPr>
          <w:rFonts w:ascii="AdvMyriadPro-I" w:hAnsi="AdvMyriadPro-I" w:cs="AdvMyriadPro-I"/>
          <w:color w:val="231F20"/>
          <w:sz w:val="17"/>
          <w:szCs w:val="17"/>
        </w:rPr>
        <w:t>Peru</w:t>
      </w:r>
      <w:proofErr w:type="spellEnd"/>
      <w:r w:rsidR="00853935">
        <w:rPr>
          <w:rFonts w:ascii="AdvMyriadPro-I" w:hAnsi="AdvMyriadPro-I" w:cs="AdvMyriadPro-I"/>
          <w:color w:val="231F20"/>
          <w:sz w:val="17"/>
          <w:szCs w:val="17"/>
        </w:rPr>
        <w:t>.</w:t>
      </w: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</w:rPr>
      </w:pPr>
      <w:bookmarkStart w:id="0" w:name="_GoBack"/>
      <w:bookmarkEnd w:id="0"/>
    </w:p>
    <w:p w:rsid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</w:rPr>
      </w:pPr>
      <w:proofErr w:type="spellStart"/>
      <w:r w:rsidRPr="00AB0B92">
        <w:rPr>
          <w:rFonts w:ascii="Arial" w:hAnsi="Arial" w:cs="Arial"/>
          <w:color w:val="231F20"/>
          <w:sz w:val="24"/>
          <w:szCs w:val="24"/>
        </w:rPr>
        <w:t>Abstract</w:t>
      </w:r>
      <w:proofErr w:type="spellEnd"/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</w:rPr>
      </w:pP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  <w:r w:rsidRPr="00AB0B92">
        <w:rPr>
          <w:rFonts w:ascii="Arial" w:hAnsi="Arial" w:cs="Arial"/>
          <w:color w:val="231F20"/>
          <w:sz w:val="24"/>
          <w:szCs w:val="24"/>
          <w:lang w:val="en-US"/>
        </w:rPr>
        <w:t>Objective: To determine the 3rd, 10th, 50th, 90th and 97th percentile of weight, length and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head circumference (HC) of male and female neonates born at 3400 m above sea level and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compare with published INTERGROWTH 21st standards.</w:t>
      </w: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  <w:r w:rsidRPr="00AB0B92">
        <w:rPr>
          <w:rFonts w:ascii="Arial" w:hAnsi="Arial" w:cs="Arial"/>
          <w:color w:val="231F20"/>
          <w:sz w:val="24"/>
          <w:szCs w:val="24"/>
          <w:lang w:val="en-US"/>
        </w:rPr>
        <w:t>Methods: Observational, transverse analytical study conducted in the National Hospital Adolfo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 xml:space="preserve">Guevara </w:t>
      </w:r>
      <w:proofErr w:type="spellStart"/>
      <w:r w:rsidRPr="00AB0B92">
        <w:rPr>
          <w:rFonts w:ascii="Arial" w:hAnsi="Arial" w:cs="Arial"/>
          <w:color w:val="231F20"/>
          <w:sz w:val="24"/>
          <w:szCs w:val="24"/>
          <w:lang w:val="en-US"/>
        </w:rPr>
        <w:t>Velazco</w:t>
      </w:r>
      <w:proofErr w:type="spellEnd"/>
      <w:r w:rsidRPr="00AB0B92">
        <w:rPr>
          <w:rFonts w:ascii="Arial" w:hAnsi="Arial" w:cs="Arial"/>
          <w:color w:val="231F20"/>
          <w:sz w:val="24"/>
          <w:szCs w:val="24"/>
          <w:lang w:val="en-US"/>
        </w:rPr>
        <w:t xml:space="preserve"> of the ESSALUD hospital system in Cusco, Peru, at 3400 m altitude, during the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period of January 2005 to December 2010. Using inclusion criteria, 7635 newborns were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selected. The 3rd, 10th, 50th, 90th and 97th percentiles for the anthropometric measurements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of birthweight, length and HC were determined for each sex and the results analyzed via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polynomial regression for each percentile in order to compare the results with INTERGROWTH</w:t>
      </w:r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  <w:proofErr w:type="gramStart"/>
      <w:r w:rsidRPr="00AB0B92">
        <w:rPr>
          <w:rFonts w:ascii="Arial" w:hAnsi="Arial" w:cs="Arial"/>
          <w:color w:val="231F20"/>
          <w:sz w:val="24"/>
          <w:szCs w:val="24"/>
          <w:lang w:val="en-US"/>
        </w:rPr>
        <w:t>21st standards.</w:t>
      </w:r>
      <w:proofErr w:type="gramEnd"/>
    </w:p>
    <w:p w:rsidR="00AB0B92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4"/>
          <w:szCs w:val="24"/>
          <w:lang w:val="en-US"/>
        </w:rPr>
      </w:pPr>
      <w:r w:rsidRPr="00AB0B92">
        <w:rPr>
          <w:rFonts w:ascii="Arial" w:hAnsi="Arial" w:cs="Arial"/>
          <w:color w:val="231F20"/>
          <w:sz w:val="24"/>
          <w:szCs w:val="24"/>
          <w:lang w:val="en-US"/>
        </w:rPr>
        <w:t>Results: No statistically significant difference was observed with the exception of female HC at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the 97th percentile when compared with the INTERGROWTH 21st standards.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</w:p>
    <w:p w:rsidR="00AF65D6" w:rsidRPr="00AB0B92" w:rsidRDefault="00AB0B92" w:rsidP="00AB0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B0B92">
        <w:rPr>
          <w:rFonts w:ascii="Arial" w:hAnsi="Arial" w:cs="Arial"/>
          <w:color w:val="231F20"/>
          <w:sz w:val="24"/>
          <w:szCs w:val="24"/>
          <w:lang w:val="en-US"/>
        </w:rPr>
        <w:t>Conclusions: Based on tables generated in the present study, neonatal anthropometric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percentiles at term at 3400 m above sea level demonstrate no appreciable difference with</w:t>
      </w:r>
      <w:r>
        <w:rPr>
          <w:rFonts w:ascii="Arial" w:hAnsi="Arial" w:cs="Arial"/>
          <w:color w:val="231F20"/>
          <w:sz w:val="24"/>
          <w:szCs w:val="24"/>
          <w:lang w:val="en-US"/>
        </w:rPr>
        <w:t xml:space="preserve"> </w:t>
      </w:r>
      <w:r w:rsidRPr="00AB0B92">
        <w:rPr>
          <w:rFonts w:ascii="Arial" w:hAnsi="Arial" w:cs="Arial"/>
          <w:color w:val="231F20"/>
          <w:sz w:val="24"/>
          <w:szCs w:val="24"/>
          <w:lang w:val="en-US"/>
        </w:rPr>
        <w:t>INTERGROWTH 21st standards with the exception of female HC at the 97th percentile.</w:t>
      </w:r>
    </w:p>
    <w:sectPr w:rsidR="00AF65D6" w:rsidRPr="00AB0B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MyriadPro-S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479F8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MyriadPro-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MyriadPro-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92"/>
    <w:rsid w:val="0080307A"/>
    <w:rsid w:val="00853935"/>
    <w:rsid w:val="00AB0B92"/>
    <w:rsid w:val="00F5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pc02</dc:creator>
  <cp:lastModifiedBy>pc02</cp:lastModifiedBy>
  <cp:revision>2</cp:revision>
  <dcterms:created xsi:type="dcterms:W3CDTF">2017-07-10T03:47:00Z</dcterms:created>
  <dcterms:modified xsi:type="dcterms:W3CDTF">2017-07-10T05:53:00Z</dcterms:modified>
</cp:coreProperties>
</file>