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430" w:rsidRDefault="006E4430" w:rsidP="006E4430">
      <w:r>
        <w:t xml:space="preserve">Demographic and Clinical </w:t>
      </w:r>
      <w:proofErr w:type="spellStart"/>
      <w:r>
        <w:t>Charachteristics</w:t>
      </w:r>
      <w:proofErr w:type="spellEnd"/>
      <w:r>
        <w:t xml:space="preserve"> of Immune Thrombocytopenia</w:t>
      </w:r>
    </w:p>
    <w:p w:rsidR="006E4430" w:rsidRDefault="006E4430" w:rsidP="006E4430">
      <w:r>
        <w:t xml:space="preserve">                                                     </w:t>
      </w:r>
      <w:bookmarkStart w:id="0" w:name="_GoBack"/>
      <w:bookmarkEnd w:id="0"/>
      <w:proofErr w:type="gramStart"/>
      <w:r>
        <w:t>in</w:t>
      </w:r>
      <w:proofErr w:type="gramEnd"/>
      <w:r>
        <w:t xml:space="preserve"> Sudanese Children</w:t>
      </w:r>
    </w:p>
    <w:p w:rsidR="006E4430" w:rsidRDefault="006E4430" w:rsidP="006E4430"/>
    <w:p w:rsidR="006E4430" w:rsidRDefault="006E4430" w:rsidP="006E4430"/>
    <w:p w:rsidR="006E4430" w:rsidRDefault="006E4430" w:rsidP="006E4430"/>
    <w:p w:rsidR="006E4430" w:rsidRDefault="006E4430" w:rsidP="006E4430">
      <w:r>
        <w:t>Abstract: The demographic and clinical profile of immune thrombocytopenia is well reported in the</w:t>
      </w:r>
    </w:p>
    <w:p w:rsidR="006E4430" w:rsidRDefault="006E4430" w:rsidP="006E4430">
      <w:proofErr w:type="gramStart"/>
      <w:r>
        <w:t>literature</w:t>
      </w:r>
      <w:proofErr w:type="gramEnd"/>
      <w:r>
        <w:t xml:space="preserve"> but was not reported before from Sudan.</w:t>
      </w:r>
    </w:p>
    <w:p w:rsidR="006E4430" w:rsidRDefault="006E4430" w:rsidP="006E4430">
      <w:r>
        <w:t>Method: A retrospective chart review was performed for all children diagnosed as immune</w:t>
      </w:r>
    </w:p>
    <w:p w:rsidR="006E4430" w:rsidRDefault="006E4430" w:rsidP="006E4430">
      <w:proofErr w:type="gramStart"/>
      <w:r>
        <w:t>thrombocytopenia</w:t>
      </w:r>
      <w:proofErr w:type="gramEnd"/>
      <w:r>
        <w:t xml:space="preserve"> (ITP) in three major hospitals over six and half years period. 47 patients were</w:t>
      </w:r>
    </w:p>
    <w:p w:rsidR="006E4430" w:rsidRDefault="006E4430" w:rsidP="006E4430">
      <w:proofErr w:type="gramStart"/>
      <w:r>
        <w:t>identified</w:t>
      </w:r>
      <w:proofErr w:type="gramEnd"/>
      <w:r>
        <w:t>. The median age was 6.5 years. Males and females were equally affected. A preceding upper</w:t>
      </w:r>
    </w:p>
    <w:p w:rsidR="006E4430" w:rsidRDefault="006E4430" w:rsidP="006E4430">
      <w:proofErr w:type="gramStart"/>
      <w:r>
        <w:t>respiratory</w:t>
      </w:r>
      <w:proofErr w:type="gramEnd"/>
      <w:r>
        <w:t xml:space="preserve"> infection was present in one third of patients. Epistaxis was the commonest presenting feature</w:t>
      </w:r>
    </w:p>
    <w:p w:rsidR="006E4430" w:rsidRDefault="006E4430" w:rsidP="006E4430">
      <w:proofErr w:type="gramStart"/>
      <w:r>
        <w:t>(87.2%).</w:t>
      </w:r>
      <w:proofErr w:type="gramEnd"/>
      <w:r>
        <w:t xml:space="preserve"> Gastrointestinal </w:t>
      </w:r>
      <w:proofErr w:type="gramStart"/>
      <w:r>
        <w:t>bleeding ,</w:t>
      </w:r>
      <w:proofErr w:type="gramEnd"/>
      <w:r>
        <w:t xml:space="preserve"> gross hematuria and </w:t>
      </w:r>
      <w:proofErr w:type="spellStart"/>
      <w:r>
        <w:t>subconjunctival</w:t>
      </w:r>
      <w:proofErr w:type="spellEnd"/>
      <w:r>
        <w:t xml:space="preserve"> bleeding were the presenting</w:t>
      </w:r>
    </w:p>
    <w:p w:rsidR="006E4430" w:rsidRDefault="006E4430" w:rsidP="006E4430">
      <w:proofErr w:type="gramStart"/>
      <w:r>
        <w:t>features</w:t>
      </w:r>
      <w:proofErr w:type="gramEnd"/>
      <w:r>
        <w:t xml:space="preserve"> in 36.2%,19.1% and 4.3% respectively. Ecchymosis and </w:t>
      </w:r>
      <w:proofErr w:type="spellStart"/>
      <w:r>
        <w:t>petechiae</w:t>
      </w:r>
      <w:proofErr w:type="spellEnd"/>
      <w:r>
        <w:t xml:space="preserve"> were the commonest clinical</w:t>
      </w:r>
    </w:p>
    <w:p w:rsidR="006E4430" w:rsidRDefault="006E4430" w:rsidP="006E4430">
      <w:proofErr w:type="gramStart"/>
      <w:r>
        <w:t>signs</w:t>
      </w:r>
      <w:proofErr w:type="gramEnd"/>
      <w:r>
        <w:t>, seen in 46.8% and 29.8% respectively. Chronic ITP constituted one third of patients. Steroids were</w:t>
      </w:r>
    </w:p>
    <w:p w:rsidR="006E4430" w:rsidRDefault="006E4430" w:rsidP="006E4430">
      <w:proofErr w:type="gramStart"/>
      <w:r>
        <w:t>the</w:t>
      </w:r>
      <w:proofErr w:type="gramEnd"/>
      <w:r>
        <w:t xml:space="preserve"> first line of treatment. No death was encountered.</w:t>
      </w:r>
    </w:p>
    <w:p w:rsidR="006E4430" w:rsidRDefault="006E4430" w:rsidP="006E4430">
      <w:r>
        <w:t>Conclusion: ITP in Sudanese children has similar features as those reported before, however, gross</w:t>
      </w:r>
    </w:p>
    <w:p w:rsidR="002B5EFC" w:rsidRDefault="006E4430" w:rsidP="006E4430">
      <w:proofErr w:type="gramStart"/>
      <w:r>
        <w:t>hematuria</w:t>
      </w:r>
      <w:proofErr w:type="gramEnd"/>
      <w:r>
        <w:t xml:space="preserve"> and gastrointestinal bleeding were seen more frequent in them.</w:t>
      </w:r>
    </w:p>
    <w:sectPr w:rsidR="002B5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430"/>
    <w:rsid w:val="00601D1B"/>
    <w:rsid w:val="006C029C"/>
    <w:rsid w:val="006E4430"/>
    <w:rsid w:val="00FC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Fathelrahman Elawad Elawad</dc:creator>
  <cp:lastModifiedBy>Fathelrahman Elawad Elawad</cp:lastModifiedBy>
  <cp:revision>2</cp:revision>
  <dcterms:created xsi:type="dcterms:W3CDTF">2017-07-10T05:42:00Z</dcterms:created>
  <dcterms:modified xsi:type="dcterms:W3CDTF">2017-07-10T05:42:00Z</dcterms:modified>
</cp:coreProperties>
</file>