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794" w:rsidRPr="001023AD" w:rsidRDefault="00413721" w:rsidP="00413721">
      <w:pPr>
        <w:pStyle w:val="Heading1"/>
        <w:ind w:left="0"/>
        <w:rPr>
          <w:color w:val="548DD4" w:themeColor="text2" w:themeTint="99"/>
        </w:rPr>
      </w:pPr>
      <w:r>
        <w:rPr>
          <w:color w:val="548DD4" w:themeColor="text2" w:themeTint="99"/>
        </w:rPr>
        <w:t xml:space="preserve">  </w:t>
      </w:r>
      <w:r w:rsidR="00AC6794" w:rsidRPr="001023AD">
        <w:rPr>
          <w:color w:val="548DD4" w:themeColor="text2" w:themeTint="99"/>
        </w:rPr>
        <w:t>Preparation of Hybridomas Producing Monoclonal Antibodies against</w:t>
      </w:r>
    </w:p>
    <w:p w:rsidR="001023AD" w:rsidRPr="001023AD" w:rsidRDefault="00AC6794" w:rsidP="004715CE">
      <w:pPr>
        <w:pStyle w:val="Heading1"/>
        <w:rPr>
          <w:color w:val="548DD4" w:themeColor="text2" w:themeTint="99"/>
        </w:rPr>
      </w:pPr>
      <w:r w:rsidRPr="001023AD">
        <w:rPr>
          <w:color w:val="548DD4" w:themeColor="text2" w:themeTint="99"/>
        </w:rPr>
        <w:t>Aflatoxin B1 as a Tool to Control Hepatocellular Carcinoma</w:t>
      </w:r>
    </w:p>
    <w:p w:rsidR="001023AD" w:rsidRDefault="0078738A" w:rsidP="001023AD">
      <w:pPr>
        <w:pStyle w:val="BodyText"/>
        <w:spacing w:before="73" w:line="198" w:lineRule="exact"/>
        <w:ind w:left="100" w:right="5987"/>
        <w:rPr>
          <w:rFonts w:ascii="Arial"/>
        </w:rPr>
      </w:pPr>
      <w:r>
        <w:rPr>
          <w:rFonts w:ascii="Arial"/>
        </w:rPr>
        <w:t xml:space="preserve">Dr </w:t>
      </w:r>
      <w:r w:rsidR="001023AD">
        <w:rPr>
          <w:rFonts w:ascii="Arial"/>
        </w:rPr>
        <w:t xml:space="preserve"> Manal Mohamed Elsayed Ahmed</w:t>
      </w:r>
      <w:r w:rsidR="005973B9">
        <w:rPr>
          <w:rFonts w:ascii="Arial"/>
        </w:rPr>
        <w:t>, PhD,</w:t>
      </w:r>
    </w:p>
    <w:p w:rsidR="0078738A" w:rsidRDefault="005973B9" w:rsidP="001023AD">
      <w:pPr>
        <w:pStyle w:val="BodyText"/>
        <w:spacing w:before="73" w:line="198" w:lineRule="exact"/>
        <w:ind w:left="100" w:right="5987"/>
        <w:rPr>
          <w:rFonts w:ascii="Arial"/>
        </w:rPr>
      </w:pPr>
      <w:r>
        <w:rPr>
          <w:rFonts w:ascii="Arial"/>
        </w:rPr>
        <w:t xml:space="preserve"> </w:t>
      </w:r>
      <w:r w:rsidR="001023AD">
        <w:rPr>
          <w:rFonts w:ascii="Arial"/>
        </w:rPr>
        <w:t>National Research Centre</w:t>
      </w:r>
      <w:r>
        <w:rPr>
          <w:rFonts w:ascii="Arial"/>
        </w:rPr>
        <w:t xml:space="preserve">, </w:t>
      </w:r>
      <w:r w:rsidR="001023AD">
        <w:rPr>
          <w:rFonts w:ascii="Arial"/>
        </w:rPr>
        <w:t>Egypt</w:t>
      </w:r>
    </w:p>
    <w:p w:rsidR="00AE3E37" w:rsidRDefault="00AE3E37">
      <w:pPr>
        <w:pStyle w:val="BodyText"/>
        <w:spacing w:before="3"/>
        <w:rPr>
          <w:rFonts w:ascii="Arial"/>
          <w:sz w:val="21"/>
        </w:rPr>
      </w:pPr>
    </w:p>
    <w:p w:rsidR="00AE3E37" w:rsidRDefault="00AE3E37">
      <w:pPr>
        <w:rPr>
          <w:rFonts w:ascii="Arial"/>
          <w:sz w:val="21"/>
        </w:rPr>
        <w:sectPr w:rsidR="00AE3E37" w:rsidSect="0003677F">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170" w:footer="283" w:gutter="0"/>
          <w:cols w:space="720"/>
          <w:docGrid w:linePitch="299"/>
        </w:sectPr>
      </w:pPr>
    </w:p>
    <w:p w:rsidR="00AE3E37" w:rsidRDefault="00A9710C" w:rsidP="004A3001">
      <w:pPr>
        <w:pStyle w:val="Heading3"/>
        <w:spacing w:before="147"/>
        <w:jc w:val="both"/>
      </w:pPr>
      <w:r>
        <w:rPr>
          <w:color w:val="BF5A14"/>
        </w:rPr>
        <w:lastRenderedPageBreak/>
        <w:t>Abstract</w:t>
      </w:r>
      <w:r w:rsidR="00404E5B">
        <w:rPr>
          <w:color w:val="BF5A14"/>
        </w:rPr>
        <w:t xml:space="preserve"> </w:t>
      </w:r>
    </w:p>
    <w:p w:rsidR="00AC6794" w:rsidRPr="00AC6794" w:rsidRDefault="00AC6794" w:rsidP="00AC6794">
      <w:pPr>
        <w:pStyle w:val="Heading3"/>
        <w:spacing w:before="74" w:line="360" w:lineRule="auto"/>
        <w:ind w:left="102"/>
        <w:jc w:val="both"/>
        <w:rPr>
          <w:rFonts w:asciiTheme="majorBidi" w:eastAsia="Tw Cen MT" w:hAnsiTheme="majorBidi" w:cstheme="majorBidi"/>
          <w:b w:val="0"/>
          <w:bCs w:val="0"/>
        </w:rPr>
      </w:pPr>
      <w:r w:rsidRPr="00AC6794">
        <w:rPr>
          <w:rFonts w:asciiTheme="majorBidi" w:eastAsia="Tw Cen MT" w:hAnsiTheme="majorBidi" w:cstheme="majorBidi"/>
          <w:b w:val="0"/>
          <w:bCs w:val="0"/>
        </w:rPr>
        <w:t xml:space="preserve">Hybridomas that secreted antibodies against aflatoxin B1 for multiple uses were prepared using a unique immunization schedule. Aflatoxin B1-BSA conjugate was used for immunization of Balb/c mice. Spleen cells were harvested from the hyper immunized mice to be fused with myeloma cell line (P3NS1) using polyethylene glycol 3000, 50% concentration as a fusogenic agent. The produced hybridomas were selected using HAT selective medium that was replaced by complete HT medium. From the 10th day after fusion, wells that contain colonies of hybridomas covering 30% or greater of the wells surface were screened for production of monoclonal antibodies against aflatoxin B1 using ELISA. 21 hybridomas were found to be reactive to aflatoxin B1. All were found to belong to IgG2a isotype except one was found to belong to IgM isotype. The prepared monoclonal antibodies and their application to immunoassays represent a useful and rapid quantitative measurement with high affinity and low detection limits in order to purify environmentally occurring levels of this carcinogen </w:t>
      </w:r>
      <w:r w:rsidR="001023AD" w:rsidRPr="00AC6794">
        <w:rPr>
          <w:rFonts w:asciiTheme="majorBidi" w:eastAsia="Tw Cen MT" w:hAnsiTheme="majorBidi" w:cstheme="majorBidi"/>
          <w:b w:val="0"/>
          <w:bCs w:val="0"/>
        </w:rPr>
        <w:t>especially</w:t>
      </w:r>
      <w:r w:rsidRPr="00AC6794">
        <w:rPr>
          <w:rFonts w:asciiTheme="majorBidi" w:eastAsia="Tw Cen MT" w:hAnsiTheme="majorBidi" w:cstheme="majorBidi"/>
          <w:b w:val="0"/>
          <w:bCs w:val="0"/>
        </w:rPr>
        <w:t xml:space="preserve"> in areas at high risk for liver cancer.</w:t>
      </w:r>
    </w:p>
    <w:p w:rsidR="001023AD" w:rsidRDefault="001023AD" w:rsidP="00AC6794">
      <w:pPr>
        <w:pStyle w:val="Heading3"/>
        <w:spacing w:before="74"/>
        <w:rPr>
          <w:rFonts w:asciiTheme="majorBidi" w:eastAsia="Tw Cen MT" w:hAnsiTheme="majorBidi" w:cstheme="majorBidi"/>
          <w:b w:val="0"/>
          <w:bCs w:val="0"/>
        </w:rPr>
      </w:pPr>
    </w:p>
    <w:p w:rsidR="001023AD" w:rsidRDefault="001023AD" w:rsidP="00AC6794">
      <w:pPr>
        <w:pStyle w:val="Heading3"/>
        <w:spacing w:before="74"/>
        <w:rPr>
          <w:rFonts w:asciiTheme="majorBidi" w:eastAsia="Tw Cen MT" w:hAnsiTheme="majorBidi" w:cstheme="majorBidi"/>
          <w:b w:val="0"/>
          <w:bCs w:val="0"/>
        </w:rPr>
      </w:pPr>
    </w:p>
    <w:p w:rsidR="001023AD" w:rsidRDefault="001023AD" w:rsidP="00AC6794">
      <w:pPr>
        <w:pStyle w:val="Heading3"/>
        <w:spacing w:before="74"/>
        <w:rPr>
          <w:rFonts w:asciiTheme="majorBidi" w:eastAsia="Tw Cen MT" w:hAnsiTheme="majorBidi" w:cstheme="majorBidi"/>
          <w:b w:val="0"/>
          <w:bCs w:val="0"/>
        </w:rPr>
      </w:pPr>
    </w:p>
    <w:p w:rsidR="001023AD" w:rsidRDefault="001023AD" w:rsidP="00AC6794">
      <w:pPr>
        <w:pStyle w:val="Heading3"/>
        <w:spacing w:before="74"/>
        <w:rPr>
          <w:rFonts w:asciiTheme="majorBidi" w:eastAsia="Tw Cen MT" w:hAnsiTheme="majorBidi" w:cstheme="majorBidi"/>
          <w:b w:val="0"/>
          <w:bCs w:val="0"/>
        </w:rPr>
      </w:pPr>
    </w:p>
    <w:p w:rsidR="0003677F" w:rsidRDefault="0003677F" w:rsidP="00D97D9B">
      <w:pPr>
        <w:pStyle w:val="Heading3"/>
        <w:spacing w:before="74"/>
        <w:ind w:left="0"/>
        <w:rPr>
          <w:color w:val="BF5A14"/>
        </w:rPr>
      </w:pPr>
    </w:p>
    <w:p w:rsidR="0003677F" w:rsidRDefault="0003677F" w:rsidP="00D97D9B">
      <w:pPr>
        <w:pStyle w:val="Heading3"/>
        <w:spacing w:before="74"/>
        <w:ind w:left="0"/>
        <w:rPr>
          <w:color w:val="BF5A14"/>
        </w:rPr>
      </w:pPr>
    </w:p>
    <w:p w:rsidR="0003677F" w:rsidRDefault="0003677F" w:rsidP="00D97D9B">
      <w:pPr>
        <w:pStyle w:val="Heading3"/>
        <w:spacing w:before="74"/>
        <w:ind w:left="0"/>
        <w:rPr>
          <w:color w:val="BF5A14"/>
        </w:rPr>
      </w:pPr>
      <w:r w:rsidRPr="003769F5">
        <w:rPr>
          <w:rFonts w:ascii="Calibri"/>
          <w:noProof/>
          <w:sz w:val="4"/>
          <w:lang w:val="en-IN" w:eastAsia="en-IN"/>
        </w:rPr>
      </w:r>
      <w:r w:rsidRPr="003769F5">
        <w:rPr>
          <w:rFonts w:ascii="Calibri"/>
          <w:noProof/>
          <w:sz w:val="4"/>
          <w:lang w:val="en-IN" w:eastAsia="en-IN"/>
        </w:rPr>
        <w:pict>
          <v:group id="Group 4" o:spid="_x0000_s1061" style="width:249.7pt;height:3.5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6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03677F" w:rsidRDefault="0003677F" w:rsidP="00D97D9B">
      <w:pPr>
        <w:pStyle w:val="Heading3"/>
        <w:spacing w:before="74"/>
        <w:ind w:left="0"/>
        <w:rPr>
          <w:color w:val="BF5A14"/>
        </w:rPr>
      </w:pPr>
    </w:p>
    <w:p w:rsidR="00AE3E37" w:rsidRPr="00AC6794" w:rsidRDefault="00A9710C" w:rsidP="00D97D9B">
      <w:pPr>
        <w:pStyle w:val="Heading3"/>
        <w:spacing w:before="74"/>
        <w:ind w:left="0"/>
        <w:rPr>
          <w:rFonts w:ascii="Tw Cen MT" w:eastAsia="Tw Cen MT" w:hAnsi="Tw Cen MT" w:cs="Tw Cen MT"/>
          <w:b w:val="0"/>
          <w:bCs w:val="0"/>
          <w:sz w:val="18"/>
          <w:szCs w:val="18"/>
        </w:rPr>
      </w:pPr>
      <w:r>
        <w:rPr>
          <w:color w:val="BF5A14"/>
        </w:rPr>
        <w:t>Image</w:t>
      </w:r>
    </w:p>
    <w:p w:rsidR="00AE3E37" w:rsidRDefault="00AC6794" w:rsidP="00AC6794">
      <w:pPr>
        <w:pStyle w:val="BodyText"/>
        <w:spacing w:before="2"/>
        <w:rPr>
          <w:rFonts w:ascii="Arial"/>
          <w:b/>
          <w:sz w:val="16"/>
        </w:rPr>
      </w:pPr>
      <w:r w:rsidRPr="00AC6794">
        <w:rPr>
          <w:noProof/>
        </w:rPr>
        <w:drawing>
          <wp:inline distT="0" distB="0" distL="0" distR="0">
            <wp:extent cx="3163062" cy="2267712"/>
            <wp:effectExtent l="19050" t="0" r="0" b="0"/>
            <wp:docPr id="2" name="Picture 1" descr="monoclonal-antibody-production-process-720.png"/>
            <wp:cNvGraphicFramePr/>
            <a:graphic xmlns:a="http://schemas.openxmlformats.org/drawingml/2006/main">
              <a:graphicData uri="http://schemas.openxmlformats.org/drawingml/2006/picture">
                <pic:pic xmlns:pic="http://schemas.openxmlformats.org/drawingml/2006/picture">
                  <pic:nvPicPr>
                    <pic:cNvPr id="40" name="Picture 39" descr="monoclonal-antibody-production-process-720.png"/>
                    <pic:cNvPicPr>
                      <a:picLocks noChangeAspect="1"/>
                    </pic:cNvPicPr>
                  </pic:nvPicPr>
                  <pic:blipFill>
                    <a:blip r:embed="rId14"/>
                    <a:srcRect t="5736"/>
                    <a:stretch>
                      <a:fillRect/>
                    </a:stretch>
                  </pic:blipFill>
                  <pic:spPr>
                    <a:xfrm>
                      <a:off x="0" y="0"/>
                      <a:ext cx="3163062" cy="2267712"/>
                    </a:xfrm>
                    <a:prstGeom prst="rect">
                      <a:avLst/>
                    </a:prstGeom>
                  </pic:spPr>
                </pic:pic>
              </a:graphicData>
            </a:graphic>
          </wp:inline>
        </w:drawing>
      </w:r>
    </w:p>
    <w:p w:rsidR="001023AD" w:rsidRPr="001023AD" w:rsidRDefault="00963F53" w:rsidP="005973B9">
      <w:pPr>
        <w:spacing w:line="204" w:lineRule="exact"/>
        <w:rPr>
          <w:rFonts w:ascii="Aparajita" w:hAnsi="Aparajita" w:cs="Aparajita"/>
          <w:b/>
          <w:i/>
          <w:iCs/>
          <w:color w:val="BF5A14"/>
          <w:sz w:val="16"/>
          <w:szCs w:val="16"/>
        </w:rPr>
      </w:pPr>
      <w:r>
        <w:rPr>
          <w:rFonts w:ascii="Aparajita" w:hAnsi="Aparajita" w:cs="Aparajita"/>
          <w:i/>
          <w:iCs/>
          <w:sz w:val="16"/>
          <w:szCs w:val="16"/>
        </w:rPr>
        <w:t xml:space="preserve">       </w:t>
      </w:r>
      <w:hyperlink r:id="rId15" w:anchor="gref" w:history="1">
        <w:r w:rsidR="001023AD" w:rsidRPr="001023AD">
          <w:rPr>
            <w:rStyle w:val="Hyperlink"/>
            <w:rFonts w:ascii="Aparajita" w:hAnsi="Aparajita" w:cs="Aparajita"/>
            <w:i/>
            <w:iCs/>
            <w:sz w:val="16"/>
            <w:szCs w:val="16"/>
          </w:rPr>
          <w:t>https://www.moleculardevices.com/applications/biologics/monoclonal-antibody-production#gref</w:t>
        </w:r>
      </w:hyperlink>
    </w:p>
    <w:p w:rsidR="001023AD" w:rsidRDefault="001023AD" w:rsidP="005973B9">
      <w:pPr>
        <w:spacing w:line="204" w:lineRule="exact"/>
        <w:rPr>
          <w:rFonts w:ascii="Arial"/>
          <w:b/>
          <w:color w:val="BF5A14"/>
          <w:sz w:val="20"/>
        </w:rPr>
      </w:pPr>
    </w:p>
    <w:p w:rsidR="004A3001" w:rsidRDefault="005973B9" w:rsidP="004A3001">
      <w:pPr>
        <w:spacing w:line="204" w:lineRule="exact"/>
        <w:rPr>
          <w:rFonts w:ascii="Arial"/>
          <w:b/>
          <w:color w:val="BF5A14"/>
          <w:sz w:val="20"/>
        </w:rPr>
      </w:pPr>
      <w:r>
        <w:rPr>
          <w:rFonts w:ascii="Arial"/>
          <w:b/>
          <w:color w:val="BF5A14"/>
          <w:sz w:val="20"/>
        </w:rPr>
        <w:t xml:space="preserve">Recent Publications </w:t>
      </w:r>
    </w:p>
    <w:p w:rsidR="00963F53" w:rsidRPr="004A3001" w:rsidRDefault="00963F53" w:rsidP="004A3001">
      <w:pPr>
        <w:pStyle w:val="ListParagraph"/>
        <w:numPr>
          <w:ilvl w:val="0"/>
          <w:numId w:val="3"/>
        </w:numPr>
        <w:spacing w:line="204" w:lineRule="exact"/>
        <w:rPr>
          <w:rFonts w:asciiTheme="minorHAnsi" w:hAnsiTheme="minorHAnsi"/>
          <w:bCs/>
          <w:sz w:val="14"/>
          <w:szCs w:val="14"/>
        </w:rPr>
      </w:pPr>
      <w:r w:rsidRPr="004A3001">
        <w:rPr>
          <w:rFonts w:asciiTheme="minorHAnsi" w:hAnsiTheme="minorHAnsi"/>
          <w:bCs/>
          <w:sz w:val="14"/>
          <w:szCs w:val="14"/>
        </w:rPr>
        <w:t xml:space="preserve">Adham M Abdou, </w:t>
      </w:r>
      <w:r w:rsidRPr="004A3001">
        <w:rPr>
          <w:rFonts w:asciiTheme="minorHAnsi" w:hAnsiTheme="minorHAnsi"/>
          <w:bCs/>
          <w:sz w:val="14"/>
          <w:szCs w:val="14"/>
          <w:u w:val="single"/>
        </w:rPr>
        <w:t>Manal M E Ahmed</w:t>
      </w:r>
      <w:r w:rsidRPr="004A3001">
        <w:rPr>
          <w:rFonts w:asciiTheme="minorHAnsi" w:hAnsiTheme="minorHAnsi"/>
          <w:bCs/>
          <w:sz w:val="14"/>
          <w:szCs w:val="14"/>
        </w:rPr>
        <w:t>, Yusuke Yamashita, Mujo Kim (2014) Immunoglobulin: A Natural Way to Suppress Helicobacter pylori in Humans</w:t>
      </w:r>
      <w:r w:rsidR="00980D63" w:rsidRPr="004A3001">
        <w:rPr>
          <w:rFonts w:asciiTheme="minorHAnsi" w:hAnsiTheme="minorHAnsi"/>
          <w:bCs/>
          <w:sz w:val="14"/>
          <w:szCs w:val="14"/>
        </w:rPr>
        <w:t xml:space="preserve">. </w:t>
      </w:r>
      <w:r w:rsidRPr="004A3001">
        <w:rPr>
          <w:rFonts w:asciiTheme="minorHAnsi" w:hAnsiTheme="minorHAnsi"/>
          <w:bCs/>
          <w:sz w:val="14"/>
          <w:szCs w:val="14"/>
        </w:rPr>
        <w:t>Health, 6(8): 781-791.</w:t>
      </w:r>
    </w:p>
    <w:p w:rsidR="00980D63" w:rsidRPr="0003677F" w:rsidRDefault="00980D63" w:rsidP="00980D63">
      <w:pPr>
        <w:pStyle w:val="ListParagraph"/>
        <w:numPr>
          <w:ilvl w:val="0"/>
          <w:numId w:val="3"/>
        </w:numPr>
        <w:rPr>
          <w:sz w:val="14"/>
          <w:szCs w:val="14"/>
        </w:rPr>
      </w:pPr>
      <w:r w:rsidRPr="0003677F">
        <w:rPr>
          <w:sz w:val="14"/>
          <w:szCs w:val="14"/>
          <w:u w:val="single"/>
        </w:rPr>
        <w:t>Manal M E Ahmed</w:t>
      </w:r>
      <w:r w:rsidRPr="0003677F">
        <w:rPr>
          <w:sz w:val="14"/>
          <w:szCs w:val="14"/>
        </w:rPr>
        <w:t xml:space="preserve"> (2019) AFLATOXIN: GENOTOXIN – HEPATOCARCINOGEN. Lambert Academic Publishing, Germany.</w:t>
      </w:r>
    </w:p>
    <w:p w:rsidR="00963F53" w:rsidRPr="0003677F" w:rsidRDefault="00963F53" w:rsidP="00963F53">
      <w:pPr>
        <w:pStyle w:val="ListParagraph"/>
        <w:numPr>
          <w:ilvl w:val="0"/>
          <w:numId w:val="3"/>
        </w:numPr>
        <w:spacing w:line="204" w:lineRule="exact"/>
        <w:rPr>
          <w:rFonts w:asciiTheme="minorHAnsi" w:hAnsiTheme="minorHAnsi"/>
          <w:bCs/>
          <w:sz w:val="14"/>
          <w:szCs w:val="14"/>
        </w:rPr>
      </w:pPr>
      <w:r w:rsidRPr="0003677F">
        <w:rPr>
          <w:rFonts w:asciiTheme="minorHAnsi" w:hAnsiTheme="minorHAnsi"/>
          <w:bCs/>
          <w:sz w:val="14"/>
          <w:szCs w:val="14"/>
          <w:u w:val="single"/>
        </w:rPr>
        <w:t>Manal M E Ahmed</w:t>
      </w:r>
      <w:r w:rsidRPr="0003677F">
        <w:rPr>
          <w:rFonts w:asciiTheme="minorHAnsi" w:hAnsiTheme="minorHAnsi"/>
          <w:bCs/>
          <w:sz w:val="14"/>
          <w:szCs w:val="14"/>
        </w:rPr>
        <w:t>, Rafik Soliman, Jakeen El-jakee, Ahmed EL-sunossi, Haitham Amer, Ibrahim Elsabagh, Rashika El-redii, Hateem Talima, Walid Nazmy (2019) Preparation of hybridomas producing monoclonal antibodies against aflatoxin B1 as a tool to control hepatocellular carcinoma" International Journal of Pharmacology, Phytochemistry and Ethnomedicine,13: 1-12.</w:t>
      </w:r>
    </w:p>
    <w:p w:rsidR="00963F53" w:rsidRPr="0003677F" w:rsidRDefault="00963F53" w:rsidP="00D97D9B">
      <w:pPr>
        <w:pStyle w:val="ListParagraph"/>
        <w:numPr>
          <w:ilvl w:val="0"/>
          <w:numId w:val="3"/>
        </w:numPr>
        <w:rPr>
          <w:sz w:val="14"/>
          <w:szCs w:val="14"/>
        </w:rPr>
      </w:pPr>
      <w:r w:rsidRPr="0003677F">
        <w:rPr>
          <w:sz w:val="14"/>
          <w:szCs w:val="14"/>
          <w:u w:val="single"/>
        </w:rPr>
        <w:t>Manal M E Ahmed</w:t>
      </w:r>
      <w:r w:rsidR="00D97D9B" w:rsidRPr="0003677F">
        <w:rPr>
          <w:sz w:val="14"/>
          <w:szCs w:val="14"/>
        </w:rPr>
        <w:t>,</w:t>
      </w:r>
      <w:r w:rsidRPr="0003677F">
        <w:rPr>
          <w:sz w:val="14"/>
          <w:szCs w:val="14"/>
        </w:rPr>
        <w:t xml:space="preserve"> Walid Nazmy</w:t>
      </w:r>
      <w:r w:rsidR="00D97D9B" w:rsidRPr="0003677F">
        <w:rPr>
          <w:sz w:val="14"/>
          <w:szCs w:val="14"/>
        </w:rPr>
        <w:t>,</w:t>
      </w:r>
      <w:r w:rsidRPr="0003677F">
        <w:rPr>
          <w:sz w:val="14"/>
          <w:szCs w:val="14"/>
        </w:rPr>
        <w:t xml:space="preserve"> Jakeen Eljakee (2019) Preparation and Evaluation of Novel AntiObesity Immunoglobulins for Immunoprophylaxis and Therapy</w:t>
      </w:r>
      <w:r w:rsidR="00D97D9B" w:rsidRPr="0003677F">
        <w:rPr>
          <w:sz w:val="14"/>
          <w:szCs w:val="14"/>
        </w:rPr>
        <w:t xml:space="preserve">. </w:t>
      </w:r>
      <w:r w:rsidRPr="0003677F">
        <w:rPr>
          <w:sz w:val="14"/>
          <w:szCs w:val="14"/>
        </w:rPr>
        <w:t>International Journal of Scientific Research in Biological Sciences, 6 (6):81-08.</w:t>
      </w:r>
    </w:p>
    <w:p w:rsidR="00980D63" w:rsidRPr="0003677F" w:rsidRDefault="00980D63" w:rsidP="00980D63">
      <w:pPr>
        <w:pStyle w:val="ListParagraph"/>
        <w:numPr>
          <w:ilvl w:val="0"/>
          <w:numId w:val="3"/>
        </w:numPr>
        <w:spacing w:line="204" w:lineRule="exact"/>
        <w:rPr>
          <w:rFonts w:asciiTheme="minorHAnsi" w:hAnsiTheme="minorHAnsi"/>
          <w:bCs/>
          <w:sz w:val="14"/>
          <w:szCs w:val="14"/>
        </w:rPr>
      </w:pPr>
      <w:r w:rsidRPr="0003677F">
        <w:rPr>
          <w:rFonts w:asciiTheme="minorHAnsi" w:hAnsiTheme="minorHAnsi"/>
          <w:bCs/>
          <w:sz w:val="14"/>
          <w:szCs w:val="14"/>
          <w:u w:val="single"/>
        </w:rPr>
        <w:t>Mohamed M</w:t>
      </w:r>
      <w:r w:rsidRPr="0003677F">
        <w:rPr>
          <w:rFonts w:asciiTheme="minorHAnsi" w:hAnsiTheme="minorHAnsi"/>
          <w:bCs/>
          <w:sz w:val="14"/>
          <w:szCs w:val="14"/>
        </w:rPr>
        <w:t>, El-Jakee JA, Abo-Alyazeed H, Moussa IM, Zahran AM and Soliman R (2002) Preparation and evaluation of the protective efficacy of Pseudomonas aeruginosa irradiated vaccine in chickens. Vet Med J, 50(4): 709 – 719.</w:t>
      </w:r>
    </w:p>
    <w:p w:rsidR="00D97D9B" w:rsidRPr="0003677F" w:rsidRDefault="00D97D9B" w:rsidP="00D97D9B">
      <w:pPr>
        <w:spacing w:line="200" w:lineRule="exact"/>
        <w:jc w:val="both"/>
        <w:rPr>
          <w:rFonts w:ascii="Calibri" w:hAnsi="Calibri"/>
          <w:sz w:val="14"/>
          <w:szCs w:val="14"/>
        </w:rPr>
      </w:pPr>
    </w:p>
    <w:p w:rsidR="00D97D9B" w:rsidRPr="00D97D9B" w:rsidRDefault="00D97D9B" w:rsidP="00D97D9B">
      <w:pPr>
        <w:pStyle w:val="ListParagraph"/>
        <w:ind w:left="284" w:firstLine="0"/>
        <w:rPr>
          <w:sz w:val="12"/>
          <w:szCs w:val="12"/>
        </w:rPr>
        <w:sectPr w:rsidR="00D97D9B" w:rsidRPr="00D97D9B">
          <w:type w:val="continuous"/>
          <w:pgSz w:w="11910" w:h="16840"/>
          <w:pgMar w:top="1740" w:right="600" w:bottom="840" w:left="620" w:header="720" w:footer="720" w:gutter="0"/>
          <w:cols w:num="2" w:space="720" w:equalWidth="0">
            <w:col w:w="5214" w:space="138"/>
            <w:col w:w="5338"/>
          </w:cols>
        </w:sectPr>
      </w:pPr>
    </w:p>
    <w:p w:rsidR="00AE3E37" w:rsidRDefault="00AE3E37" w:rsidP="004A3001">
      <w:pPr>
        <w:pStyle w:val="BodyText"/>
        <w:spacing w:line="40" w:lineRule="exact"/>
        <w:rPr>
          <w:rFonts w:ascii="Calibri"/>
          <w:sz w:val="4"/>
        </w:rPr>
      </w:pPr>
    </w:p>
    <w:p w:rsidR="00AE3E37" w:rsidRDefault="004715CE" w:rsidP="004A3001">
      <w:pPr>
        <w:spacing w:before="92"/>
        <w:ind w:right="4234"/>
        <w:rPr>
          <w:rFonts w:ascii="Arial"/>
        </w:rPr>
      </w:pPr>
      <w:r>
        <w:rPr>
          <w:rFonts w:ascii="Arial"/>
          <w:noProof/>
          <w:color w:val="BF5A14"/>
        </w:rPr>
        <w:drawing>
          <wp:inline distT="0" distB="0" distL="0" distR="0">
            <wp:extent cx="599211" cy="657537"/>
            <wp:effectExtent l="19050" t="0" r="0" b="0"/>
            <wp:docPr id="4" name="Picture 3" descr="oie_10221357Spv6bW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ie_10221357Spv6bW25.png"/>
                    <pic:cNvPicPr/>
                  </pic:nvPicPr>
                  <pic:blipFill>
                    <a:blip r:embed="rId16"/>
                    <a:srcRect b="14706"/>
                    <a:stretch>
                      <a:fillRect/>
                    </a:stretch>
                  </pic:blipFill>
                  <pic:spPr>
                    <a:xfrm>
                      <a:off x="0" y="0"/>
                      <a:ext cx="609458" cy="668781"/>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4A3001" w:rsidRDefault="00980D63" w:rsidP="004A3001">
      <w:pPr>
        <w:ind w:right="227"/>
        <w:jc w:val="both"/>
        <w:rPr>
          <w:rFonts w:asciiTheme="minorHAnsi" w:hAnsiTheme="minorHAnsi"/>
          <w:sz w:val="16"/>
          <w:szCs w:val="16"/>
        </w:rPr>
      </w:pPr>
      <w:r w:rsidRPr="0003677F">
        <w:rPr>
          <w:rFonts w:asciiTheme="minorHAnsi" w:hAnsiTheme="minorHAnsi"/>
          <w:b/>
          <w:bCs/>
          <w:sz w:val="16"/>
          <w:szCs w:val="16"/>
        </w:rPr>
        <w:t>Dr. Manal M. E. Ahmed</w:t>
      </w:r>
      <w:r w:rsidRPr="0003677F">
        <w:rPr>
          <w:rFonts w:asciiTheme="minorHAnsi" w:hAnsiTheme="minorHAnsi"/>
          <w:sz w:val="16"/>
          <w:szCs w:val="16"/>
        </w:rPr>
        <w:t xml:space="preserve"> </w:t>
      </w:r>
      <w:r w:rsidRPr="0003677F">
        <w:rPr>
          <w:rFonts w:asciiTheme="minorHAnsi" w:hAnsiTheme="minorHAnsi"/>
          <w:color w:val="444444"/>
          <w:sz w:val="16"/>
          <w:szCs w:val="16"/>
          <w:shd w:val="clear" w:color="auto" w:fill="FFFFFF"/>
        </w:rPr>
        <w:t>is</w:t>
      </w:r>
      <w:r w:rsidRPr="0003677F">
        <w:rPr>
          <w:rFonts w:asciiTheme="minorHAnsi" w:hAnsiTheme="minorHAnsi"/>
          <w:sz w:val="16"/>
          <w:szCs w:val="16"/>
        </w:rPr>
        <w:t xml:space="preserve"> Immunologist, Researcher, Columnist, Author, Reviewer, Public Speaker, Consultant and </w:t>
      </w:r>
      <w:r w:rsidRPr="0003677F">
        <w:rPr>
          <w:rFonts w:asciiTheme="minorHAnsi" w:hAnsiTheme="minorHAnsi"/>
          <w:color w:val="222222"/>
          <w:sz w:val="16"/>
          <w:szCs w:val="16"/>
          <w:shd w:val="clear" w:color="auto" w:fill="FFFFFF"/>
        </w:rPr>
        <w:t>Principal</w:t>
      </w:r>
      <w:r w:rsidRPr="0003677F">
        <w:rPr>
          <w:rFonts w:asciiTheme="minorHAnsi" w:hAnsiTheme="minorHAnsi"/>
          <w:sz w:val="16"/>
          <w:szCs w:val="16"/>
        </w:rPr>
        <w:t xml:space="preserve"> Investigator of one of the national challenge projects in Egypt. She worked over almost 25 years in the field of preparation of vaccines, immunoglobulin Y, polyclonal antibodies, and monoclonal antibodies as immunological tools for pharmaceutical and diagnostic industries. She has been awarded two patents from the academy of scientific research, Egypt. She published different scientific researches and articles in the scope of her work. She also interested in providing social awareness for her community through the multimedia activities. She is the principal investigator of one of the national challenge projects of her country. She was actively participated in many scientific national and international workshops and conferences. Her main interest is the employ of Immunology in innovating novel biological products that have pharmaceutical and diagnostic applications.</w:t>
      </w:r>
      <w:r w:rsidR="004A3001">
        <w:rPr>
          <w:rFonts w:asciiTheme="minorHAnsi" w:hAnsiTheme="minorHAnsi"/>
          <w:sz w:val="16"/>
          <w:szCs w:val="16"/>
        </w:rPr>
        <w:t xml:space="preserve">         </w:t>
      </w:r>
    </w:p>
    <w:p w:rsidR="00AE3E37" w:rsidRPr="004A3001" w:rsidRDefault="004A3001" w:rsidP="004A3001">
      <w:pPr>
        <w:ind w:right="227"/>
        <w:jc w:val="both"/>
        <w:rPr>
          <w:rFonts w:asciiTheme="minorHAnsi" w:hAnsiTheme="minorHAnsi"/>
          <w:sz w:val="16"/>
          <w:szCs w:val="16"/>
        </w:rPr>
      </w:pPr>
      <w:r>
        <w:rPr>
          <w:rFonts w:asciiTheme="minorHAnsi" w:hAnsiTheme="minorHAnsi"/>
          <w:sz w:val="16"/>
          <w:szCs w:val="16"/>
        </w:rPr>
        <w:t xml:space="preserve">                                                                                              </w:t>
      </w:r>
      <w:r w:rsidR="00A9710C">
        <w:rPr>
          <w:rFonts w:ascii="Arial"/>
          <w:sz w:val="14"/>
        </w:rPr>
        <w:t xml:space="preserve">Email: </w:t>
      </w:r>
      <w:bookmarkStart w:id="0" w:name="_GoBack"/>
      <w:bookmarkEnd w:id="0"/>
      <w:r w:rsidR="003769F5" w:rsidRPr="008F4EE4">
        <w:rPr>
          <w:rFonts w:asciiTheme="minorHAnsi" w:hAnsiTheme="minorHAnsi" w:cs="Aparajita"/>
          <w:noProof/>
          <w:color w:val="0000FF"/>
          <w:sz w:val="16"/>
          <w:szCs w:val="16"/>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980D63" w:rsidRPr="008F4EE4">
        <w:rPr>
          <w:rFonts w:asciiTheme="minorHAnsi" w:hAnsiTheme="minorHAnsi" w:cs="Aparajita"/>
          <w:color w:val="0000FF"/>
          <w:sz w:val="16"/>
          <w:szCs w:val="16"/>
        </w:rPr>
        <w:t>thinktankteam2014@gmail.com</w: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69B4" w:rsidRDefault="007B69B4">
      <w:r>
        <w:separator/>
      </w:r>
    </w:p>
  </w:endnote>
  <w:endnote w:type="continuationSeparator" w:id="1">
    <w:p w:rsidR="007B69B4" w:rsidRDefault="007B69B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77F" w:rsidRDefault="0003677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769F5">
    <w:pPr>
      <w:pStyle w:val="BodyText"/>
      <w:spacing w:line="14" w:lineRule="auto"/>
      <w:rPr>
        <w:sz w:val="20"/>
      </w:rPr>
    </w:pPr>
    <w:r w:rsidRPr="003769F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769F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769F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77F" w:rsidRDefault="0003677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69B4" w:rsidRDefault="007B69B4">
      <w:r>
        <w:separator/>
      </w:r>
    </w:p>
  </w:footnote>
  <w:footnote w:type="continuationSeparator" w:id="1">
    <w:p w:rsidR="007B69B4" w:rsidRDefault="007B69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77F" w:rsidRDefault="0003677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769F5">
    <w:pPr>
      <w:pStyle w:val="BodyText"/>
      <w:spacing w:line="14" w:lineRule="auto"/>
      <w:rPr>
        <w:sz w:val="20"/>
      </w:rPr>
    </w:pPr>
    <w:r w:rsidRPr="003769F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3769F5">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77F" w:rsidRDefault="0003677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1E4825A4"/>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3677F"/>
    <w:rsid w:val="000E2911"/>
    <w:rsid w:val="001023AD"/>
    <w:rsid w:val="001263DF"/>
    <w:rsid w:val="001E763C"/>
    <w:rsid w:val="00292ED9"/>
    <w:rsid w:val="00314AFB"/>
    <w:rsid w:val="003769F5"/>
    <w:rsid w:val="003B76D9"/>
    <w:rsid w:val="00404E5B"/>
    <w:rsid w:val="00413721"/>
    <w:rsid w:val="00414F7B"/>
    <w:rsid w:val="004355DC"/>
    <w:rsid w:val="004715CE"/>
    <w:rsid w:val="004749B4"/>
    <w:rsid w:val="00494130"/>
    <w:rsid w:val="004A3001"/>
    <w:rsid w:val="004F3523"/>
    <w:rsid w:val="005973B9"/>
    <w:rsid w:val="005B3A56"/>
    <w:rsid w:val="006060CE"/>
    <w:rsid w:val="0063497F"/>
    <w:rsid w:val="0078738A"/>
    <w:rsid w:val="007B69B4"/>
    <w:rsid w:val="00873DF0"/>
    <w:rsid w:val="008756E6"/>
    <w:rsid w:val="008F4EE4"/>
    <w:rsid w:val="00963F53"/>
    <w:rsid w:val="00980D63"/>
    <w:rsid w:val="009B2D44"/>
    <w:rsid w:val="00A07E82"/>
    <w:rsid w:val="00A9710C"/>
    <w:rsid w:val="00AC6794"/>
    <w:rsid w:val="00AE3E37"/>
    <w:rsid w:val="00B21A57"/>
    <w:rsid w:val="00C33602"/>
    <w:rsid w:val="00CD6F55"/>
    <w:rsid w:val="00D62425"/>
    <w:rsid w:val="00D97D9B"/>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moleculardevices.com/applications/biologics/monoclonal-antibody-production" TargetMode="External"/><Relationship Id="rId10" Type="http://schemas.openxmlformats.org/officeDocument/2006/relationships/footer" Target="footer1.xm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92C3B-BF45-4FA8-9A52-3492ACE16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ww</cp:lastModifiedBy>
  <cp:revision>15</cp:revision>
  <dcterms:created xsi:type="dcterms:W3CDTF">2016-08-31T13:10:00Z</dcterms:created>
  <dcterms:modified xsi:type="dcterms:W3CDTF">2020-03-10T18:19:00Z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