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E00CE" w14:textId="6F096A50" w:rsidR="00AE3E37" w:rsidRDefault="00E85A6A" w:rsidP="00494130">
      <w:pPr>
        <w:pStyle w:val="Heading1"/>
        <w:spacing w:before="170"/>
        <w:ind w:left="0"/>
      </w:pPr>
      <w:r w:rsidRPr="00E85A6A">
        <w:rPr>
          <w:color w:val="337AB7"/>
        </w:rPr>
        <w:t xml:space="preserve">Peripheral and Central Analgesic Activities of </w:t>
      </w:r>
      <w:proofErr w:type="spellStart"/>
      <w:r w:rsidRPr="00E85A6A">
        <w:rPr>
          <w:color w:val="337AB7"/>
        </w:rPr>
        <w:t>Zygophyllum</w:t>
      </w:r>
      <w:proofErr w:type="spellEnd"/>
      <w:r w:rsidRPr="00E85A6A">
        <w:rPr>
          <w:color w:val="337AB7"/>
        </w:rPr>
        <w:t xml:space="preserve"> Extracts in Mice: Comparative Study with Aspirin and Morphine</w:t>
      </w:r>
    </w:p>
    <w:p w14:paraId="1F75EFC6" w14:textId="22FEF326" w:rsidR="00AE3E37" w:rsidRPr="00B164B1" w:rsidRDefault="00B164B1" w:rsidP="00B164B1">
      <w:pPr>
        <w:pStyle w:val="BodyText"/>
        <w:spacing w:before="73" w:line="198" w:lineRule="exact"/>
        <w:ind w:left="100" w:right="5987"/>
        <w:rPr>
          <w:rFonts w:ascii="Arial"/>
        </w:rPr>
      </w:pPr>
      <w:r w:rsidRPr="00B164B1">
        <w:rPr>
          <w:rFonts w:ascii="Arial"/>
        </w:rPr>
        <w:t xml:space="preserve">Dr </w:t>
      </w:r>
      <w:proofErr w:type="spellStart"/>
      <w:r w:rsidRPr="00B164B1">
        <w:rPr>
          <w:rFonts w:ascii="Arial"/>
        </w:rPr>
        <w:t>Metni</w:t>
      </w:r>
      <w:proofErr w:type="spellEnd"/>
      <w:r w:rsidRPr="00B164B1">
        <w:rPr>
          <w:rFonts w:ascii="Arial"/>
        </w:rPr>
        <w:t xml:space="preserve"> </w:t>
      </w:r>
      <w:proofErr w:type="spellStart"/>
      <w:r w:rsidRPr="00B164B1">
        <w:rPr>
          <w:rFonts w:ascii="Arial"/>
        </w:rPr>
        <w:t>Khairo</w:t>
      </w:r>
      <w:proofErr w:type="spellEnd"/>
      <w:r w:rsidRPr="00B164B1">
        <w:rPr>
          <w:rFonts w:ascii="Arial"/>
        </w:rPr>
        <w:t xml:space="preserve"> El </w:t>
      </w:r>
      <w:proofErr w:type="spellStart"/>
      <w:r w:rsidRPr="00B164B1">
        <w:rPr>
          <w:rFonts w:ascii="Arial"/>
        </w:rPr>
        <w:t>Baria</w:t>
      </w:r>
      <w:proofErr w:type="spellEnd"/>
      <w:r w:rsidRPr="00B164B1">
        <w:rPr>
          <w:rFonts w:ascii="Arial"/>
        </w:rPr>
        <w:t xml:space="preserve">, Dr </w:t>
      </w:r>
      <w:proofErr w:type="spellStart"/>
      <w:r w:rsidRPr="00B164B1">
        <w:rPr>
          <w:rFonts w:ascii="Arial"/>
        </w:rPr>
        <w:t>Meryem</w:t>
      </w:r>
      <w:proofErr w:type="spellEnd"/>
      <w:r w:rsidRPr="00B164B1">
        <w:rPr>
          <w:rFonts w:ascii="Arial"/>
        </w:rPr>
        <w:t xml:space="preserve"> </w:t>
      </w:r>
      <w:proofErr w:type="spellStart"/>
      <w:r w:rsidRPr="00B164B1">
        <w:rPr>
          <w:rFonts w:ascii="Arial"/>
        </w:rPr>
        <w:t>Qostal</w:t>
      </w:r>
      <w:proofErr w:type="spellEnd"/>
      <w:r w:rsidRPr="00B164B1">
        <w:rPr>
          <w:rFonts w:ascii="Arial"/>
        </w:rPr>
        <w:t xml:space="preserve">, Dr </w:t>
      </w:r>
      <w:proofErr w:type="spellStart"/>
      <w:r w:rsidRPr="00B164B1">
        <w:rPr>
          <w:rFonts w:ascii="Arial"/>
        </w:rPr>
        <w:t>Siham</w:t>
      </w:r>
      <w:proofErr w:type="spellEnd"/>
      <w:r w:rsidRPr="00B164B1">
        <w:rPr>
          <w:rFonts w:ascii="Arial"/>
        </w:rPr>
        <w:t xml:space="preserve"> El Bassami, Dr </w:t>
      </w:r>
      <w:proofErr w:type="spellStart"/>
      <w:r w:rsidRPr="00B164B1">
        <w:rPr>
          <w:rFonts w:ascii="Arial"/>
        </w:rPr>
        <w:t>Sillahi</w:t>
      </w:r>
      <w:proofErr w:type="spellEnd"/>
      <w:r w:rsidRPr="00B164B1">
        <w:rPr>
          <w:rFonts w:ascii="Arial"/>
        </w:rPr>
        <w:t xml:space="preserve"> </w:t>
      </w:r>
      <w:proofErr w:type="spellStart"/>
      <w:r w:rsidRPr="00B164B1">
        <w:rPr>
          <w:rFonts w:ascii="Arial"/>
        </w:rPr>
        <w:t>Bouchra</w:t>
      </w:r>
      <w:proofErr w:type="spellEnd"/>
      <w:r w:rsidRPr="00B164B1">
        <w:rPr>
          <w:rFonts w:ascii="Arial"/>
        </w:rPr>
        <w:t xml:space="preserve">, Prof. Annas </w:t>
      </w:r>
      <w:proofErr w:type="spellStart"/>
      <w:r w:rsidRPr="00B164B1">
        <w:rPr>
          <w:rFonts w:ascii="Arial"/>
        </w:rPr>
        <w:t>Doukkali</w:t>
      </w:r>
      <w:proofErr w:type="spellEnd"/>
      <w:r w:rsidRPr="00B164B1">
        <w:rPr>
          <w:rFonts w:ascii="Arial"/>
        </w:rPr>
        <w:t xml:space="preserve">, Prof. </w:t>
      </w:r>
      <w:proofErr w:type="spellStart"/>
      <w:r w:rsidRPr="00B164B1">
        <w:rPr>
          <w:rFonts w:ascii="Arial"/>
        </w:rPr>
        <w:t>Hanane</w:t>
      </w:r>
      <w:proofErr w:type="spellEnd"/>
      <w:r w:rsidRPr="00B164B1">
        <w:rPr>
          <w:rFonts w:ascii="Arial"/>
        </w:rPr>
        <w:t xml:space="preserve"> </w:t>
      </w:r>
      <w:proofErr w:type="spellStart"/>
      <w:r w:rsidRPr="00B164B1">
        <w:rPr>
          <w:rFonts w:ascii="Arial"/>
        </w:rPr>
        <w:t>Benzeid</w:t>
      </w:r>
      <w:proofErr w:type="spellEnd"/>
      <w:r w:rsidRPr="00B164B1">
        <w:rPr>
          <w:rFonts w:ascii="Arial"/>
        </w:rPr>
        <w:t>, Faculty of Medicine and Pharmacy, Morocco</w:t>
      </w:r>
      <w:r>
        <w:rPr>
          <w:rFonts w:ascii="Arial"/>
        </w:rPr>
        <w:t>;</w:t>
      </w:r>
    </w:p>
    <w:p w14:paraId="0A7C4E35" w14:textId="7E76463E" w:rsidR="00AE3E37" w:rsidRDefault="00AE3E37">
      <w:pPr>
        <w:pStyle w:val="BodyText"/>
        <w:spacing w:before="3"/>
        <w:rPr>
          <w:rFonts w:ascii="Arial"/>
          <w:sz w:val="21"/>
        </w:rPr>
      </w:pPr>
    </w:p>
    <w:p w14:paraId="5DD1017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6325DF8" w14:textId="77777777" w:rsidR="00AE3E37" w:rsidRDefault="00A9710C">
      <w:pPr>
        <w:pStyle w:val="Heading3"/>
        <w:spacing w:before="147"/>
        <w:jc w:val="both"/>
      </w:pPr>
      <w:r>
        <w:rPr>
          <w:color w:val="BF5A14"/>
        </w:rPr>
        <w:t>Abstract</w:t>
      </w:r>
      <w:r w:rsidR="00404E5B">
        <w:rPr>
          <w:color w:val="BF5A14"/>
        </w:rPr>
        <w:t xml:space="preserve"> (300 word limit)</w:t>
      </w:r>
    </w:p>
    <w:p w14:paraId="44F438BB" w14:textId="73264323" w:rsidR="006A1B2B" w:rsidRDefault="00B164B1" w:rsidP="006A1B2B">
      <w:pPr>
        <w:pStyle w:val="BodyText"/>
        <w:spacing w:before="90" w:line="280" w:lineRule="auto"/>
        <w:ind w:left="100"/>
      </w:pPr>
      <w:proofErr w:type="spellStart"/>
      <w:r>
        <w:t>Zygophyllum</w:t>
      </w:r>
      <w:proofErr w:type="spellEnd"/>
      <w:r>
        <w:t xml:space="preserve"> species have traditionally been used in Moroccan traditional medicine for the treatment of various disorders and inflammatory conditions. This study aimed to evaluate the peripheral and central analgesic activities of different </w:t>
      </w:r>
      <w:proofErr w:type="spellStart"/>
      <w:r>
        <w:t>Zygophyllum</w:t>
      </w:r>
      <w:proofErr w:type="spellEnd"/>
      <w:r>
        <w:t xml:space="preserve"> extracts in mice. The aerial parts of the plant were extracted using a Soxhlet apparatus with different solvents, while an aqueous extract was prepared separately by decoction. The extracts were administered orally at doses of 200 and 300 mg/</w:t>
      </w:r>
      <w:proofErr w:type="spellStart"/>
      <w:r>
        <w:t>kg.Peripheral</w:t>
      </w:r>
      <w:proofErr w:type="spellEnd"/>
      <w:r>
        <w:t xml:space="preserve"> analgesic activity was evaluated using the acetic acid-induced writhing test, with 10% DMSO as the negative control and aspirin as the positive control. The number of abdominal writhes was recorded as an indicator of nociceptive response, with a reduction in writhing behavior indicating peripheral antinociceptive </w:t>
      </w:r>
      <w:proofErr w:type="spellStart"/>
      <w:proofErr w:type="gramStart"/>
      <w:r>
        <w:t>activity.Central</w:t>
      </w:r>
      <w:proofErr w:type="spellEnd"/>
      <w:proofErr w:type="gramEnd"/>
      <w:r>
        <w:t xml:space="preserve"> analgesic activity was evaluated using a central nociception model, with 10% DMSO as the negative control and morphine as the positive control. The analgesic response was assessed according to the latency of the nociceptive response. The results indicated that </w:t>
      </w:r>
      <w:proofErr w:type="spellStart"/>
      <w:r>
        <w:t>Zygophyllum</w:t>
      </w:r>
      <w:proofErr w:type="spellEnd"/>
      <w:r>
        <w:t xml:space="preserve"> extracts reduced nociceptive responses in mice, suggesting potential peripheral and central analgesic effects. These findings support the traditional use of </w:t>
      </w:r>
      <w:proofErr w:type="spellStart"/>
      <w:r>
        <w:t>Zygophyllum</w:t>
      </w:r>
      <w:proofErr w:type="spellEnd"/>
      <w:r>
        <w:t xml:space="preserve"> species and warrant further investigation of their mechanisms of action.</w:t>
      </w:r>
    </w:p>
    <w:p w14:paraId="617D0477" w14:textId="75AB3A9B" w:rsidR="00B164B1" w:rsidRDefault="00B164B1" w:rsidP="006A1B2B">
      <w:pPr>
        <w:pStyle w:val="BodyText"/>
        <w:spacing w:line="280" w:lineRule="auto"/>
        <w:ind w:left="100"/>
      </w:pPr>
      <w:r w:rsidRPr="006A1B2B">
        <w:rPr>
          <w:b/>
          <w:bCs/>
        </w:rPr>
        <w:t>Keywords:</w:t>
      </w:r>
      <w:r>
        <w:t xml:space="preserve"> </w:t>
      </w:r>
      <w:proofErr w:type="spellStart"/>
      <w:r>
        <w:t>Zygophyllum</w:t>
      </w:r>
      <w:proofErr w:type="spellEnd"/>
      <w:r>
        <w:t>, peripheral analgesia, central analgesia, antinociceptive activity, acetic acid-induced writhing, aspirin, morphine, mice, plant extracts.</w:t>
      </w:r>
    </w:p>
    <w:p w14:paraId="4E4E526E" w14:textId="25488C31" w:rsidR="00B164B1" w:rsidRPr="006A1B2B" w:rsidRDefault="006A1B2B" w:rsidP="00B164B1">
      <w:pPr>
        <w:pStyle w:val="BodyText"/>
        <w:spacing w:before="90" w:line="280" w:lineRule="auto"/>
        <w:ind w:left="100"/>
        <w:rPr>
          <w:b/>
          <w:bCs/>
          <w:sz w:val="20"/>
          <w:szCs w:val="20"/>
        </w:rPr>
      </w:pPr>
      <w:r w:rsidRPr="006A1B2B">
        <w:rPr>
          <w:b/>
          <w:bCs/>
          <w:color w:val="BF5A14"/>
          <w:sz w:val="20"/>
          <w:szCs w:val="20"/>
        </w:rPr>
        <w:t>Graph</w:t>
      </w:r>
    </w:p>
    <w:p w14:paraId="454BB2DC" w14:textId="6170FFA4" w:rsidR="00AE3E37" w:rsidRDefault="00B164B1" w:rsidP="00B164B1">
      <w:pPr>
        <w:pStyle w:val="BodyText"/>
        <w:spacing w:before="90" w:line="280" w:lineRule="auto"/>
        <w:jc w:val="both"/>
      </w:pPr>
      <w:r>
        <w:rPr>
          <w:noProof/>
          <w:lang w:val="fr-FR"/>
        </w:rPr>
        <w:drawing>
          <wp:inline distT="0" distB="0" distL="0" distR="0" wp14:anchorId="5360C612" wp14:editId="0B98A03D">
            <wp:extent cx="2118360" cy="1630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8360" cy="1630680"/>
                    </a:xfrm>
                    <a:prstGeom prst="rect">
                      <a:avLst/>
                    </a:prstGeom>
                    <a:noFill/>
                  </pic:spPr>
                </pic:pic>
              </a:graphicData>
            </a:graphic>
          </wp:inline>
        </w:drawing>
      </w:r>
    </w:p>
    <w:p w14:paraId="04196B81" w14:textId="0F3EF1BD" w:rsidR="00AE3E37" w:rsidRDefault="00A9710C">
      <w:pPr>
        <w:pStyle w:val="Heading3"/>
        <w:spacing w:before="74"/>
        <w:rPr>
          <w:color w:val="BF5A14"/>
        </w:rPr>
      </w:pPr>
      <w:r>
        <w:rPr>
          <w:b w:val="0"/>
        </w:rPr>
        <w:br w:type="column"/>
      </w:r>
      <w:r w:rsidR="00B164B1">
        <w:rPr>
          <w:color w:val="BF5A14"/>
        </w:rPr>
        <w:t xml:space="preserve"> </w:t>
      </w:r>
    </w:p>
    <w:p w14:paraId="0494E659" w14:textId="791027CF" w:rsidR="00B164B1" w:rsidRPr="00B164B1" w:rsidRDefault="00B164B1">
      <w:pPr>
        <w:pStyle w:val="Heading3"/>
        <w:spacing w:before="74"/>
        <w:rPr>
          <w:lang w:val="fr-FR"/>
        </w:rPr>
      </w:pPr>
      <w:r>
        <w:rPr>
          <w:noProof/>
          <w:lang w:val="fr-FR"/>
        </w:rPr>
        <w:drawing>
          <wp:anchor distT="0" distB="0" distL="114300" distR="114300" simplePos="0" relativeHeight="251658240" behindDoc="1" locked="0" layoutInCell="1" allowOverlap="1" wp14:anchorId="72FFA145" wp14:editId="153DBD95">
            <wp:simplePos x="0" y="0"/>
            <wp:positionH relativeFrom="column">
              <wp:posOffset>368935</wp:posOffset>
            </wp:positionH>
            <wp:positionV relativeFrom="paragraph">
              <wp:posOffset>49964</wp:posOffset>
            </wp:positionV>
            <wp:extent cx="2661285" cy="1531620"/>
            <wp:effectExtent l="0" t="0" r="5715" b="0"/>
            <wp:wrapTight wrapText="bothSides">
              <wp:wrapPolygon edited="0">
                <wp:start x="0" y="0"/>
                <wp:lineTo x="0" y="21224"/>
                <wp:lineTo x="21492" y="21224"/>
                <wp:lineTo x="2149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1285" cy="1531620"/>
                    </a:xfrm>
                    <a:prstGeom prst="rect">
                      <a:avLst/>
                    </a:prstGeom>
                    <a:noFill/>
                  </pic:spPr>
                </pic:pic>
              </a:graphicData>
            </a:graphic>
          </wp:anchor>
        </w:drawing>
      </w:r>
    </w:p>
    <w:p w14:paraId="5E3DF593" w14:textId="5F73D06F" w:rsidR="00AE3E37" w:rsidRDefault="00AE3E37">
      <w:pPr>
        <w:pStyle w:val="BodyText"/>
        <w:spacing w:before="2"/>
        <w:rPr>
          <w:rFonts w:ascii="Arial"/>
          <w:b/>
          <w:sz w:val="16"/>
        </w:rPr>
      </w:pPr>
    </w:p>
    <w:p w14:paraId="0A02EDB6" w14:textId="66CBE371" w:rsidR="005973B9" w:rsidRDefault="005973B9" w:rsidP="005973B9">
      <w:pPr>
        <w:spacing w:line="204" w:lineRule="exact"/>
        <w:rPr>
          <w:rFonts w:ascii="Arial"/>
          <w:b/>
          <w:sz w:val="20"/>
        </w:rPr>
      </w:pPr>
      <w:r>
        <w:rPr>
          <w:rFonts w:ascii="Arial"/>
          <w:b/>
          <w:color w:val="BF5A14"/>
          <w:sz w:val="20"/>
        </w:rPr>
        <w:br/>
        <w:t>Recent Publications (minimum 5)</w:t>
      </w:r>
    </w:p>
    <w:p w14:paraId="33370AFB" w14:textId="2F48F161" w:rsidR="006A1B2B" w:rsidRPr="006A1B2B" w:rsidRDefault="005973B9" w:rsidP="006A1B2B">
      <w:pPr>
        <w:pStyle w:val="BodyText"/>
        <w:spacing w:before="85" w:line="216" w:lineRule="exact"/>
        <w:ind w:left="383" w:right="138" w:hanging="284"/>
        <w:jc w:val="both"/>
        <w:rPr>
          <w:rFonts w:ascii="Calibri" w:hAnsi="Calibri"/>
          <w:lang w:val="fr-FR"/>
        </w:rPr>
      </w:pP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r w:rsidR="006A1B2B" w:rsidRPr="006A1B2B">
        <w:t xml:space="preserve"> </w:t>
      </w:r>
      <w:r w:rsidR="006A1B2B" w:rsidRPr="006A1B2B">
        <w:rPr>
          <w:rFonts w:ascii="Calibri" w:hAnsi="Calibri"/>
          <w:lang w:val="fr-FR"/>
        </w:rPr>
        <w:t>1.</w:t>
      </w:r>
      <w:r w:rsidR="006A1B2B" w:rsidRPr="006A1B2B">
        <w:rPr>
          <w:rFonts w:ascii="Calibri" w:hAnsi="Calibri"/>
          <w:lang w:val="fr-FR"/>
        </w:rPr>
        <w:tab/>
        <w:t xml:space="preserve">Collier et al. (1968) — référence classique du modèle de </w:t>
      </w:r>
      <w:proofErr w:type="spellStart"/>
      <w:r w:rsidR="006A1B2B" w:rsidRPr="006A1B2B">
        <w:rPr>
          <w:rFonts w:ascii="Calibri" w:hAnsi="Calibri"/>
          <w:lang w:val="fr-FR"/>
        </w:rPr>
        <w:t>writhing</w:t>
      </w:r>
      <w:proofErr w:type="spellEnd"/>
      <w:r w:rsidR="006A1B2B" w:rsidRPr="006A1B2B">
        <w:rPr>
          <w:rFonts w:ascii="Calibri" w:hAnsi="Calibri"/>
          <w:lang w:val="fr-FR"/>
        </w:rPr>
        <w:t xml:space="preserve"> induit par l’acide acétique. C’est une référence importante pour justifier le test périphérique. </w:t>
      </w:r>
    </w:p>
    <w:p w14:paraId="61AD15F3" w14:textId="77777777" w:rsidR="006A1B2B" w:rsidRPr="006A1B2B" w:rsidRDefault="006A1B2B" w:rsidP="006A1B2B">
      <w:pPr>
        <w:pStyle w:val="BodyText"/>
        <w:spacing w:before="85" w:line="216" w:lineRule="exact"/>
        <w:ind w:left="383" w:right="138" w:hanging="284"/>
        <w:jc w:val="both"/>
        <w:rPr>
          <w:rFonts w:ascii="Calibri" w:hAnsi="Calibri"/>
          <w:lang w:val="fr-FR"/>
        </w:rPr>
      </w:pPr>
      <w:r w:rsidRPr="006A1B2B">
        <w:rPr>
          <w:rFonts w:ascii="Calibri" w:hAnsi="Calibri"/>
          <w:lang w:val="fr-FR"/>
        </w:rPr>
        <w:t>2.</w:t>
      </w:r>
      <w:r w:rsidRPr="006A1B2B">
        <w:rPr>
          <w:rFonts w:ascii="Calibri" w:hAnsi="Calibri"/>
          <w:lang w:val="fr-FR"/>
        </w:rPr>
        <w:tab/>
      </w:r>
      <w:proofErr w:type="spellStart"/>
      <w:r w:rsidRPr="006A1B2B">
        <w:rPr>
          <w:rFonts w:ascii="Calibri" w:hAnsi="Calibri"/>
          <w:lang w:val="fr-FR"/>
        </w:rPr>
        <w:t>Vinegar</w:t>
      </w:r>
      <w:proofErr w:type="spellEnd"/>
      <w:r w:rsidRPr="006A1B2B">
        <w:rPr>
          <w:rFonts w:ascii="Calibri" w:hAnsi="Calibri"/>
          <w:lang w:val="fr-FR"/>
        </w:rPr>
        <w:t xml:space="preserve"> et al. (1976) — compare notamment l’activité analgésique de l’aspirine dans différents modèles, dont le </w:t>
      </w:r>
      <w:proofErr w:type="spellStart"/>
      <w:r w:rsidRPr="006A1B2B">
        <w:rPr>
          <w:rFonts w:ascii="Calibri" w:hAnsi="Calibri"/>
          <w:lang w:val="fr-FR"/>
        </w:rPr>
        <w:t>writhing</w:t>
      </w:r>
      <w:proofErr w:type="spellEnd"/>
      <w:r w:rsidRPr="006A1B2B">
        <w:rPr>
          <w:rFonts w:ascii="Calibri" w:hAnsi="Calibri"/>
          <w:lang w:val="fr-FR"/>
        </w:rPr>
        <w:t xml:space="preserve"> à l’acide acétique. </w:t>
      </w:r>
    </w:p>
    <w:p w14:paraId="482FF227" w14:textId="77777777" w:rsidR="006A1B2B" w:rsidRPr="006A1B2B" w:rsidRDefault="006A1B2B" w:rsidP="006A1B2B">
      <w:pPr>
        <w:pStyle w:val="BodyText"/>
        <w:spacing w:before="85" w:line="216" w:lineRule="exact"/>
        <w:ind w:left="383" w:right="138" w:hanging="284"/>
        <w:jc w:val="both"/>
        <w:rPr>
          <w:rFonts w:ascii="Calibri" w:hAnsi="Calibri"/>
          <w:lang w:val="fr-FR"/>
        </w:rPr>
      </w:pPr>
      <w:r w:rsidRPr="006A1B2B">
        <w:rPr>
          <w:rFonts w:ascii="Calibri" w:hAnsi="Calibri"/>
          <w:lang w:val="fr-FR"/>
        </w:rPr>
        <w:t>3.</w:t>
      </w:r>
      <w:r w:rsidRPr="006A1B2B">
        <w:rPr>
          <w:rFonts w:ascii="Calibri" w:hAnsi="Calibri"/>
          <w:lang w:val="fr-FR"/>
        </w:rPr>
        <w:tab/>
        <w:t xml:space="preserve">Singh et al. (1983) — étude critique du test de </w:t>
      </w:r>
      <w:proofErr w:type="spellStart"/>
      <w:r w:rsidRPr="006A1B2B">
        <w:rPr>
          <w:rFonts w:ascii="Calibri" w:hAnsi="Calibri"/>
          <w:lang w:val="fr-FR"/>
        </w:rPr>
        <w:t>writhing</w:t>
      </w:r>
      <w:proofErr w:type="spellEnd"/>
      <w:r w:rsidRPr="006A1B2B">
        <w:rPr>
          <w:rFonts w:ascii="Calibri" w:hAnsi="Calibri"/>
          <w:lang w:val="fr-FR"/>
        </w:rPr>
        <w:t xml:space="preserve"> à l’acide acétique chez la souris et comparaison de plusieurs analgésiques, dont l’aspirine. </w:t>
      </w:r>
    </w:p>
    <w:p w14:paraId="7269AB11" w14:textId="77777777" w:rsidR="006A1B2B" w:rsidRPr="006A1B2B" w:rsidRDefault="006A1B2B" w:rsidP="006A1B2B">
      <w:pPr>
        <w:pStyle w:val="BodyText"/>
        <w:spacing w:before="85" w:line="216" w:lineRule="exact"/>
        <w:ind w:left="383" w:right="138" w:hanging="284"/>
        <w:jc w:val="both"/>
        <w:rPr>
          <w:rFonts w:ascii="Calibri" w:hAnsi="Calibri"/>
          <w:lang w:val="fr-FR"/>
        </w:rPr>
      </w:pPr>
      <w:r w:rsidRPr="006A1B2B">
        <w:rPr>
          <w:rFonts w:ascii="Calibri" w:hAnsi="Calibri"/>
          <w:lang w:val="fr-FR"/>
        </w:rPr>
        <w:t>4.</w:t>
      </w:r>
      <w:r w:rsidRPr="006A1B2B">
        <w:rPr>
          <w:rFonts w:ascii="Calibri" w:hAnsi="Calibri"/>
          <w:lang w:val="fr-FR"/>
        </w:rPr>
        <w:tab/>
      </w:r>
      <w:proofErr w:type="spellStart"/>
      <w:r w:rsidRPr="006A1B2B">
        <w:rPr>
          <w:rFonts w:ascii="Calibri" w:hAnsi="Calibri"/>
          <w:lang w:val="fr-FR"/>
        </w:rPr>
        <w:t>Ghosh</w:t>
      </w:r>
      <w:proofErr w:type="spellEnd"/>
      <w:r w:rsidRPr="006A1B2B">
        <w:rPr>
          <w:rFonts w:ascii="Calibri" w:hAnsi="Calibri"/>
          <w:lang w:val="fr-FR"/>
        </w:rPr>
        <w:t xml:space="preserve"> et al. / étude sur </w:t>
      </w:r>
      <w:proofErr w:type="spellStart"/>
      <w:r w:rsidRPr="006A1B2B">
        <w:rPr>
          <w:rFonts w:ascii="Calibri" w:hAnsi="Calibri"/>
          <w:lang w:val="fr-FR"/>
        </w:rPr>
        <w:t>Castanospermum</w:t>
      </w:r>
      <w:proofErr w:type="spellEnd"/>
      <w:r w:rsidRPr="006A1B2B">
        <w:rPr>
          <w:rFonts w:ascii="Calibri" w:hAnsi="Calibri"/>
          <w:lang w:val="fr-FR"/>
        </w:rPr>
        <w:t xml:space="preserve"> australe — utilise le </w:t>
      </w:r>
      <w:proofErr w:type="spellStart"/>
      <w:r w:rsidRPr="006A1B2B">
        <w:rPr>
          <w:rFonts w:ascii="Calibri" w:hAnsi="Calibri"/>
          <w:lang w:val="fr-FR"/>
        </w:rPr>
        <w:t>writhing</w:t>
      </w:r>
      <w:proofErr w:type="spellEnd"/>
      <w:r w:rsidRPr="006A1B2B">
        <w:rPr>
          <w:rFonts w:ascii="Calibri" w:hAnsi="Calibri"/>
          <w:lang w:val="fr-FR"/>
        </w:rPr>
        <w:t xml:space="preserve"> à l’acide acétique pour évaluer l'activité analgésique périphérique et présente l’aspirine comme médicament de référence. </w:t>
      </w:r>
    </w:p>
    <w:p w14:paraId="7F8A57EE" w14:textId="5AD49067" w:rsidR="005973B9" w:rsidRPr="006A1B2B" w:rsidRDefault="006A1B2B" w:rsidP="006A1B2B">
      <w:pPr>
        <w:pStyle w:val="BodyText"/>
        <w:spacing w:before="85" w:line="216" w:lineRule="exact"/>
        <w:ind w:left="383" w:right="138" w:hanging="284"/>
        <w:jc w:val="both"/>
        <w:rPr>
          <w:rFonts w:ascii="Calibri" w:hAnsi="Calibri"/>
          <w:lang w:val="fr-FR"/>
        </w:rPr>
      </w:pPr>
      <w:r w:rsidRPr="006A1B2B">
        <w:rPr>
          <w:rFonts w:ascii="Calibri" w:hAnsi="Calibri"/>
          <w:lang w:val="fr-FR"/>
        </w:rPr>
        <w:t>5.</w:t>
      </w:r>
      <w:r w:rsidRPr="006A1B2B">
        <w:rPr>
          <w:rFonts w:ascii="Calibri" w:hAnsi="Calibri"/>
          <w:lang w:val="fr-FR"/>
        </w:rPr>
        <w:tab/>
        <w:t>Yamamoto et al. (2002) — le hot-plate test mesure la latence de la réponse nociceptive et permet d'évaluer l'effet analgésique central.</w:t>
      </w:r>
    </w:p>
    <w:p w14:paraId="795C37B9" w14:textId="77777777" w:rsidR="00AE3E37" w:rsidRPr="006A1B2B" w:rsidRDefault="00AE3E37" w:rsidP="008756E6">
      <w:pPr>
        <w:tabs>
          <w:tab w:val="left" w:pos="384"/>
        </w:tabs>
        <w:ind w:right="117"/>
        <w:rPr>
          <w:lang w:val="fr-FR"/>
        </w:rPr>
      </w:pPr>
    </w:p>
    <w:p w14:paraId="61D2B48F" w14:textId="77777777" w:rsidR="00AE3E37" w:rsidRPr="006A1B2B" w:rsidRDefault="008756E6">
      <w:pPr>
        <w:spacing w:line="200" w:lineRule="exact"/>
        <w:jc w:val="both"/>
        <w:rPr>
          <w:rFonts w:ascii="Calibri" w:hAnsi="Calibri"/>
          <w:lang w:val="fr-FR"/>
        </w:rPr>
        <w:sectPr w:rsidR="00AE3E37" w:rsidRPr="006A1B2B">
          <w:type w:val="continuous"/>
          <w:pgSz w:w="11910" w:h="16840"/>
          <w:pgMar w:top="1740" w:right="600" w:bottom="840" w:left="620" w:header="720" w:footer="720" w:gutter="0"/>
          <w:cols w:num="2" w:space="720" w:equalWidth="0">
            <w:col w:w="5214" w:space="138"/>
            <w:col w:w="5338"/>
          </w:cols>
        </w:sectPr>
      </w:pPr>
      <w:r w:rsidRPr="006A1B2B">
        <w:rPr>
          <w:rFonts w:ascii="Calibri" w:hAnsi="Calibri"/>
          <w:lang w:val="fr-FR"/>
        </w:rPr>
        <w:t xml:space="preserve">   </w:t>
      </w:r>
    </w:p>
    <w:p w14:paraId="6B65B1A1" w14:textId="77777777" w:rsidR="00AE3E37" w:rsidRPr="00D62425" w:rsidRDefault="00D62425">
      <w:pPr>
        <w:pStyle w:val="BodyText"/>
        <w:rPr>
          <w:rFonts w:ascii="Calibri"/>
          <w:b/>
          <w:sz w:val="20"/>
        </w:rPr>
      </w:pPr>
      <w:r w:rsidRPr="006A1B2B">
        <w:rPr>
          <w:rFonts w:ascii="Calibri"/>
          <w:sz w:val="20"/>
          <w:lang w:val="fr-FR"/>
        </w:rPr>
        <w:t xml:space="preserve">                 </w:t>
      </w:r>
      <w:r w:rsidRPr="00D62425">
        <w:rPr>
          <w:rFonts w:ascii="Calibri"/>
          <w:b/>
          <w:sz w:val="20"/>
        </w:rPr>
        <w:t>Photograph</w:t>
      </w:r>
    </w:p>
    <w:p w14:paraId="375C6BF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14966EB" wp14:editId="67FE1E2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CF37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A6D3F2" w14:textId="34F4CB68" w:rsidR="00AE3E37" w:rsidRDefault="008756E6" w:rsidP="00404E5B">
      <w:pPr>
        <w:spacing w:before="92"/>
        <w:ind w:right="4234"/>
        <w:rPr>
          <w:rFonts w:ascii="Arial"/>
        </w:rPr>
      </w:pPr>
      <w:r>
        <w:rPr>
          <w:noProof/>
        </w:rPr>
        <w:t xml:space="preserve">              </w:t>
      </w:r>
      <w:r w:rsidR="006A1B2B">
        <w:rPr>
          <w:rFonts w:ascii="Arial"/>
          <w:noProof/>
          <w:color w:val="BF5A14"/>
        </w:rPr>
        <w:drawing>
          <wp:inline distT="0" distB="0" distL="0" distR="0" wp14:anchorId="2E2C20FC" wp14:editId="2ADF3581">
            <wp:extent cx="702024" cy="770021"/>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1" cstate="print">
                      <a:extLst>
                        <a:ext uri="{28A0092B-C50C-407E-A947-70E740481C1C}">
                          <a14:useLocalDpi xmlns:a14="http://schemas.microsoft.com/office/drawing/2010/main" val="0"/>
                        </a:ext>
                      </a:extLst>
                    </a:blip>
                    <a:srcRect l="19793" t="8000" r="16484" b="22105"/>
                    <a:stretch/>
                  </pic:blipFill>
                  <pic:spPr bwMode="auto">
                    <a:xfrm>
                      <a:off x="0" y="0"/>
                      <a:ext cx="702638" cy="770695"/>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FCCC2E1" w14:textId="1AA2591B" w:rsidR="00973A4F" w:rsidRDefault="00A9710C" w:rsidP="00973A4F">
      <w:pPr>
        <w:spacing w:line="154" w:lineRule="exact"/>
        <w:ind w:left="213" w:right="231"/>
        <w:jc w:val="both"/>
        <w:rPr>
          <w:rFonts w:ascii="Arial"/>
          <w:sz w:val="14"/>
        </w:rPr>
      </w:pPr>
      <w:r>
        <w:rPr>
          <w:rFonts w:ascii="Arial"/>
          <w:sz w:val="14"/>
        </w:rPr>
        <w:t>D</w:t>
      </w:r>
      <w:r w:rsidR="0078738A">
        <w:rPr>
          <w:rFonts w:ascii="Arial"/>
          <w:sz w:val="14"/>
        </w:rPr>
        <w:t>r</w:t>
      </w:r>
      <w:r w:rsidR="00973A4F" w:rsidRPr="00973A4F">
        <w:t xml:space="preserve"> </w:t>
      </w:r>
      <w:proofErr w:type="spellStart"/>
      <w:r w:rsidR="00973A4F" w:rsidRPr="00973A4F">
        <w:rPr>
          <w:rFonts w:ascii="Arial"/>
          <w:sz w:val="14"/>
        </w:rPr>
        <w:t>Dr</w:t>
      </w:r>
      <w:proofErr w:type="spellEnd"/>
      <w:r w:rsidR="00973A4F" w:rsidRPr="00973A4F">
        <w:rPr>
          <w:rFonts w:ascii="Arial"/>
          <w:sz w:val="14"/>
        </w:rPr>
        <w:t xml:space="preserve">. </w:t>
      </w:r>
      <w:proofErr w:type="spellStart"/>
      <w:r w:rsidR="00973A4F" w:rsidRPr="00973A4F">
        <w:rPr>
          <w:rFonts w:ascii="Arial"/>
          <w:sz w:val="14"/>
        </w:rPr>
        <w:t>Khairo</w:t>
      </w:r>
      <w:proofErr w:type="spellEnd"/>
      <w:r w:rsidR="00973A4F" w:rsidRPr="00973A4F">
        <w:rPr>
          <w:rFonts w:ascii="Arial"/>
          <w:sz w:val="14"/>
        </w:rPr>
        <w:t xml:space="preserve"> El </w:t>
      </w:r>
      <w:proofErr w:type="spellStart"/>
      <w:r w:rsidR="00973A4F" w:rsidRPr="00973A4F">
        <w:rPr>
          <w:rFonts w:ascii="Arial"/>
          <w:sz w:val="14"/>
        </w:rPr>
        <w:t>Baria</w:t>
      </w:r>
      <w:proofErr w:type="spellEnd"/>
      <w:r w:rsidR="00973A4F" w:rsidRPr="00973A4F">
        <w:rPr>
          <w:rFonts w:ascii="Arial"/>
          <w:sz w:val="14"/>
        </w:rPr>
        <w:t xml:space="preserve"> </w:t>
      </w:r>
      <w:proofErr w:type="spellStart"/>
      <w:r w:rsidR="00973A4F" w:rsidRPr="00973A4F">
        <w:rPr>
          <w:rFonts w:ascii="Arial"/>
          <w:sz w:val="14"/>
        </w:rPr>
        <w:t>Metni</w:t>
      </w:r>
      <w:proofErr w:type="spellEnd"/>
      <w:r w:rsidR="00973A4F" w:rsidRPr="00973A4F">
        <w:rPr>
          <w:rFonts w:ascii="Arial"/>
          <w:sz w:val="14"/>
        </w:rPr>
        <w:t xml:space="preserve"> is a researcher in Pharmaceutical Sciences specializing in phytochemistry, pharmacology, and toxicology. Her research focuses on the scientific evaluation and valorization of medicinal plants and natural products. She has experience in ethnobotanical research, in vitro and in vivo pharmacological investigations, experimental design, and data analysis. Her multidisciplinary approach combines traditional medicinal knowledge with modern scientific methodologies to investigate bioactive compounds and their potential health applications. She is passionate about natural product research and committed to contributing to evidence-based therapeutic strategies through collaborative and multidisciplinary research</w:t>
      </w:r>
      <w:r w:rsidR="00973A4F">
        <w:rPr>
          <w:rFonts w:ascii="Arial"/>
          <w:sz w:val="14"/>
        </w:rPr>
        <w:t>.</w:t>
      </w:r>
    </w:p>
    <w:p w14:paraId="09B5738C" w14:textId="10D9364F" w:rsidR="00AE3E37" w:rsidRDefault="00A9710C">
      <w:pPr>
        <w:spacing w:before="62"/>
        <w:ind w:left="4217" w:right="4235"/>
        <w:jc w:val="center"/>
        <w:rPr>
          <w:rFonts w:ascii="Arial"/>
          <w:sz w:val="14"/>
        </w:rPr>
      </w:pPr>
      <w:r>
        <w:rPr>
          <w:rFonts w:ascii="Arial"/>
          <w:sz w:val="14"/>
        </w:rPr>
        <w:t xml:space="preserve">mail: </w:t>
      </w:r>
      <w:hyperlink r:id="rId12" w:history="1">
        <w:r w:rsidR="00E10F38" w:rsidRPr="00DA47D9">
          <w:rPr>
            <w:rStyle w:val="Hyperlink"/>
            <w:rFonts w:ascii="Arial"/>
            <w:sz w:val="14"/>
          </w:rPr>
          <w:t>metnikhairoelbaria@gmail.com</w:t>
        </w:r>
      </w:hyperlink>
    </w:p>
    <w:p w14:paraId="018C6076" w14:textId="5A324ADA" w:rsidR="00AE3E37" w:rsidRPr="00973A4F" w:rsidRDefault="00292ED9" w:rsidP="006A1B2B">
      <w:pPr>
        <w:pStyle w:val="BodyText"/>
        <w:spacing w:before="2"/>
        <w:rPr>
          <w:rFonts w:ascii="Arial"/>
          <w:sz w:val="19"/>
          <w:lang w:val="fr-FR"/>
        </w:rPr>
        <w:sectPr w:rsidR="00AE3E37" w:rsidRPr="00973A4F">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79DBA4D0" wp14:editId="7A4EBC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C711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15D462B" w14:textId="77777777" w:rsidR="00AE3E37" w:rsidRPr="00973A4F" w:rsidRDefault="00AE3E37">
      <w:pPr>
        <w:pStyle w:val="BodyText"/>
        <w:spacing w:before="3"/>
        <w:rPr>
          <w:rFonts w:ascii="Minion Pro"/>
          <w:sz w:val="26"/>
          <w:lang w:val="fr-FR"/>
        </w:rPr>
      </w:pPr>
    </w:p>
    <w:sectPr w:rsidR="00AE3E37" w:rsidRPr="00973A4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E5C04" w14:textId="77777777" w:rsidR="0083316D" w:rsidRDefault="0083316D">
      <w:r>
        <w:separator/>
      </w:r>
    </w:p>
  </w:endnote>
  <w:endnote w:type="continuationSeparator" w:id="0">
    <w:p w14:paraId="04A01B3C" w14:textId="77777777" w:rsidR="0083316D" w:rsidRDefault="00833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EE49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6026184B" wp14:editId="307EE8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095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4A36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26184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6E095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0E4A36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0FACA4B2" wp14:editId="6D3705F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6D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CBC9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CA4B2"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7F6D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CBC90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72ECFBF8" wp14:editId="088B431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9E0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B662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CFBF8"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FC9E0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B662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F68EC" w14:textId="77777777" w:rsidR="0083316D" w:rsidRDefault="0083316D">
      <w:r>
        <w:separator/>
      </w:r>
    </w:p>
  </w:footnote>
  <w:footnote w:type="continuationSeparator" w:id="0">
    <w:p w14:paraId="5566F559" w14:textId="77777777" w:rsidR="0083316D" w:rsidRDefault="00833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75E2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104294D9" wp14:editId="655510B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AB0A3" w14:textId="77777777" w:rsidR="00AE3E37" w:rsidRPr="00E85A6A" w:rsidRDefault="00A9710C">
                          <w:pPr>
                            <w:spacing w:before="2" w:line="249" w:lineRule="auto"/>
                            <w:ind w:left="156" w:right="18" w:hanging="137"/>
                            <w:rPr>
                              <w:rFonts w:ascii="Arial"/>
                              <w:color w:val="FFFFFF" w:themeColor="background1"/>
                              <w:sz w:val="14"/>
                              <w:lang w:val="fr-FR"/>
                            </w:rPr>
                          </w:pPr>
                          <w:r w:rsidRPr="00E85A6A">
                            <w:rPr>
                              <w:rFonts w:ascii="Arial"/>
                              <w:color w:val="FFFFFF" w:themeColor="background1"/>
                              <w:sz w:val="14"/>
                              <w:lang w:val="fr-FR"/>
                            </w:rPr>
                            <w:t xml:space="preserve">T Furuta et al., J Pai n Relief 2016, </w:t>
                          </w:r>
                          <w:proofErr w:type="gramStart"/>
                          <w:r w:rsidRPr="00E85A6A">
                            <w:rPr>
                              <w:rFonts w:ascii="Arial"/>
                              <w:color w:val="FFFFFF" w:themeColor="background1"/>
                              <w:sz w:val="14"/>
                              <w:lang w:val="fr-FR"/>
                            </w:rPr>
                            <w:t>5:</w:t>
                          </w:r>
                          <w:proofErr w:type="gramEnd"/>
                          <w:r w:rsidRPr="00E85A6A">
                            <w:rPr>
                              <w:rFonts w:ascii="Arial"/>
                              <w:color w:val="FFFFFF" w:themeColor="background1"/>
                              <w:sz w:val="14"/>
                              <w:lang w:val="fr-FR"/>
                            </w:rPr>
                            <w:t>3(</w:t>
                          </w:r>
                          <w:proofErr w:type="spellStart"/>
                          <w:r w:rsidRPr="00E85A6A">
                            <w:rPr>
                              <w:rFonts w:ascii="Arial"/>
                              <w:color w:val="FFFFFF" w:themeColor="background1"/>
                              <w:sz w:val="14"/>
                              <w:lang w:val="fr-FR"/>
                            </w:rPr>
                            <w:t>Suppl</w:t>
                          </w:r>
                          <w:proofErr w:type="spellEnd"/>
                          <w:r w:rsidRPr="00E85A6A">
                            <w:rPr>
                              <w:rFonts w:ascii="Arial"/>
                              <w:color w:val="FFFFFF" w:themeColor="background1"/>
                              <w:sz w:val="14"/>
                              <w:lang w:val="fr-FR"/>
                            </w:rPr>
                            <w:t xml:space="preserve">) </w:t>
                          </w:r>
                          <w:hyperlink r:id="rId1">
                            <w:r w:rsidRPr="00E85A6A">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4294D9"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19AB0A3" w14:textId="77777777" w:rsidR="00AE3E37" w:rsidRPr="00E85A6A" w:rsidRDefault="00A9710C">
                    <w:pPr>
                      <w:spacing w:before="2" w:line="249" w:lineRule="auto"/>
                      <w:ind w:left="156" w:right="18" w:hanging="137"/>
                      <w:rPr>
                        <w:rFonts w:ascii="Arial"/>
                        <w:color w:val="FFFFFF" w:themeColor="background1"/>
                        <w:sz w:val="14"/>
                        <w:lang w:val="fr-FR"/>
                      </w:rPr>
                    </w:pPr>
                    <w:r w:rsidRPr="00E85A6A">
                      <w:rPr>
                        <w:rFonts w:ascii="Arial"/>
                        <w:color w:val="FFFFFF" w:themeColor="background1"/>
                        <w:sz w:val="14"/>
                        <w:lang w:val="fr-FR"/>
                      </w:rPr>
                      <w:t xml:space="preserve">T Furuta et al., J Pai n Relief 2016, </w:t>
                    </w:r>
                    <w:proofErr w:type="gramStart"/>
                    <w:r w:rsidRPr="00E85A6A">
                      <w:rPr>
                        <w:rFonts w:ascii="Arial"/>
                        <w:color w:val="FFFFFF" w:themeColor="background1"/>
                        <w:sz w:val="14"/>
                        <w:lang w:val="fr-FR"/>
                      </w:rPr>
                      <w:t>5:</w:t>
                    </w:r>
                    <w:proofErr w:type="gramEnd"/>
                    <w:r w:rsidRPr="00E85A6A">
                      <w:rPr>
                        <w:rFonts w:ascii="Arial"/>
                        <w:color w:val="FFFFFF" w:themeColor="background1"/>
                        <w:sz w:val="14"/>
                        <w:lang w:val="fr-FR"/>
                      </w:rPr>
                      <w:t>3(</w:t>
                    </w:r>
                    <w:proofErr w:type="spellStart"/>
                    <w:r w:rsidRPr="00E85A6A">
                      <w:rPr>
                        <w:rFonts w:ascii="Arial"/>
                        <w:color w:val="FFFFFF" w:themeColor="background1"/>
                        <w:sz w:val="14"/>
                        <w:lang w:val="fr-FR"/>
                      </w:rPr>
                      <w:t>Suppl</w:t>
                    </w:r>
                    <w:proofErr w:type="spellEnd"/>
                    <w:r w:rsidRPr="00E85A6A">
                      <w:rPr>
                        <w:rFonts w:ascii="Arial"/>
                        <w:color w:val="FFFFFF" w:themeColor="background1"/>
                        <w:sz w:val="14"/>
                        <w:lang w:val="fr-FR"/>
                      </w:rPr>
                      <w:t xml:space="preserve">) </w:t>
                    </w:r>
                    <w:hyperlink r:id="rId2">
                      <w:r w:rsidRPr="00E85A6A">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0B6E1133" wp14:editId="18967C2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707F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D914B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E1133"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65707F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D914B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A1B2B"/>
    <w:rsid w:val="0078738A"/>
    <w:rsid w:val="0083316D"/>
    <w:rsid w:val="00873DF0"/>
    <w:rsid w:val="008756E6"/>
    <w:rsid w:val="00973A4F"/>
    <w:rsid w:val="009B2D44"/>
    <w:rsid w:val="00A07E82"/>
    <w:rsid w:val="00A9710C"/>
    <w:rsid w:val="00AE3E37"/>
    <w:rsid w:val="00B164B1"/>
    <w:rsid w:val="00B21A57"/>
    <w:rsid w:val="00C33602"/>
    <w:rsid w:val="00CD6F55"/>
    <w:rsid w:val="00CE5098"/>
    <w:rsid w:val="00D62425"/>
    <w:rsid w:val="00DE3104"/>
    <w:rsid w:val="00E10F38"/>
    <w:rsid w:val="00E85A6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F1D4B"/>
  <w15:docId w15:val="{36A8A8B3-72CC-4451-A198-217C6AC84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73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2183305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etnikhairoelbari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567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13</cp:revision>
  <dcterms:created xsi:type="dcterms:W3CDTF">2016-08-31T13:10:00Z</dcterms:created>
  <dcterms:modified xsi:type="dcterms:W3CDTF">2026-09-05T15:13:00Z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