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592" w:rsidRDefault="003A7592" w:rsidP="003A7592">
      <w:pPr>
        <w:pStyle w:val="NormalWeb"/>
        <w:spacing w:before="0" w:beforeAutospacing="0" w:after="0" w:afterAutospacing="0"/>
        <w:jc w:val="center"/>
      </w:pPr>
      <w:r>
        <w:rPr>
          <w:rFonts w:eastAsia="+mn-ea"/>
          <w:b/>
          <w:bCs/>
          <w:color w:val="002060"/>
          <w:kern w:val="24"/>
        </w:rPr>
        <w:t xml:space="preserve">HYPOGLYCAEMIC EFFECT AND POSSIBLE MECHANISMS OF ACTION </w:t>
      </w:r>
      <w:bookmarkStart w:id="0" w:name="_GoBack"/>
      <w:bookmarkEnd w:id="0"/>
      <w:r w:rsidR="00482D86">
        <w:rPr>
          <w:rFonts w:eastAsia="+mn-ea"/>
          <w:b/>
          <w:bCs/>
          <w:color w:val="002060"/>
          <w:kern w:val="24"/>
        </w:rPr>
        <w:t>OF ABRUS</w:t>
      </w:r>
      <w:r>
        <w:rPr>
          <w:rFonts w:eastAsia="+mn-ea"/>
          <w:b/>
          <w:bCs/>
          <w:color w:val="002060"/>
          <w:kern w:val="24"/>
        </w:rPr>
        <w:t xml:space="preserve"> PRECATORIUS LEAF EXTRACT IN STZ/NICOTINAMIDE - INDUCED HYPERGLYCAEMIC RATS</w:t>
      </w:r>
      <w:r>
        <w:rPr>
          <w:rFonts w:eastAsia="+mn-ea"/>
          <w:b/>
          <w:bCs/>
          <w:color w:val="000000"/>
          <w:kern w:val="24"/>
        </w:rPr>
        <w:t xml:space="preserve"> </w:t>
      </w:r>
    </w:p>
    <w:p w:rsidR="003A7592" w:rsidRDefault="003A7592" w:rsidP="003A7592">
      <w:pPr>
        <w:pStyle w:val="NormalWeb"/>
        <w:spacing w:before="0" w:beforeAutospacing="0" w:after="0" w:afterAutospacing="0"/>
        <w:jc w:val="center"/>
      </w:pPr>
      <w:r>
        <w:rPr>
          <w:rFonts w:eastAsia="+mn-ea"/>
          <w:b/>
          <w:bCs/>
          <w:color w:val="000000"/>
          <w:kern w:val="24"/>
        </w:rPr>
        <w:t xml:space="preserve">Alex </w:t>
      </w:r>
      <w:proofErr w:type="spellStart"/>
      <w:r>
        <w:rPr>
          <w:rFonts w:eastAsia="+mn-ea"/>
          <w:b/>
          <w:bCs/>
          <w:color w:val="000000"/>
          <w:kern w:val="24"/>
        </w:rPr>
        <w:t>Boye</w:t>
      </w:r>
      <w:proofErr w:type="spellEnd"/>
      <w:r>
        <w:rPr>
          <w:rFonts w:ascii="Calibri" w:eastAsia="+mn-ea" w:hAnsi="Calibri" w:cs="+mn-cs"/>
          <w:color w:val="000000"/>
          <w:kern w:val="24"/>
          <w:position w:val="7"/>
          <w:vertAlign w:val="superscript"/>
        </w:rPr>
        <w:t>1</w:t>
      </w:r>
      <w:r>
        <w:rPr>
          <w:rFonts w:eastAsia="+mn-ea"/>
          <w:b/>
          <w:bCs/>
          <w:color w:val="000000"/>
          <w:kern w:val="24"/>
        </w:rPr>
        <w:t xml:space="preserve">, Ernest </w:t>
      </w:r>
      <w:proofErr w:type="spellStart"/>
      <w:r>
        <w:rPr>
          <w:rFonts w:eastAsia="+mn-ea"/>
          <w:b/>
          <w:bCs/>
          <w:color w:val="000000"/>
          <w:kern w:val="24"/>
        </w:rPr>
        <w:t>Amponsah</w:t>
      </w:r>
      <w:proofErr w:type="spellEnd"/>
      <w:r>
        <w:rPr>
          <w:rFonts w:eastAsia="+mn-ea"/>
          <w:b/>
          <w:bCs/>
          <w:color w:val="000000"/>
          <w:kern w:val="24"/>
        </w:rPr>
        <w:t xml:space="preserve"> </w:t>
      </w:r>
      <w:proofErr w:type="spellStart"/>
      <w:r>
        <w:rPr>
          <w:rFonts w:eastAsia="+mn-ea"/>
          <w:b/>
          <w:bCs/>
          <w:color w:val="000000"/>
          <w:kern w:val="24"/>
        </w:rPr>
        <w:t>Asiamah</w:t>
      </w:r>
      <w:proofErr w:type="spellEnd"/>
      <w:r>
        <w:rPr>
          <w:rFonts w:ascii="Calibri" w:eastAsia="+mn-ea" w:hAnsi="Calibri" w:cs="+mn-cs"/>
          <w:color w:val="000000"/>
          <w:kern w:val="24"/>
          <w:position w:val="7"/>
          <w:sz w:val="22"/>
          <w:szCs w:val="22"/>
          <w:vertAlign w:val="superscript"/>
        </w:rPr>
        <w:t>2</w:t>
      </w:r>
      <w:r>
        <w:rPr>
          <w:rFonts w:eastAsia="+mn-ea"/>
          <w:b/>
          <w:bCs/>
          <w:color w:val="000000"/>
          <w:kern w:val="24"/>
        </w:rPr>
        <w:t xml:space="preserve">, Benjamin </w:t>
      </w:r>
      <w:proofErr w:type="spellStart"/>
      <w:r>
        <w:rPr>
          <w:rFonts w:eastAsia="+mn-ea"/>
          <w:b/>
          <w:bCs/>
          <w:color w:val="000000"/>
          <w:kern w:val="24"/>
        </w:rPr>
        <w:t>Arko</w:t>
      </w:r>
      <w:proofErr w:type="spellEnd"/>
      <w:r>
        <w:rPr>
          <w:rFonts w:eastAsia="+mn-ea"/>
          <w:b/>
          <w:bCs/>
          <w:color w:val="000000"/>
          <w:kern w:val="24"/>
        </w:rPr>
        <w:t xml:space="preserve"> </w:t>
      </w:r>
      <w:proofErr w:type="spellStart"/>
      <w:r>
        <w:rPr>
          <w:rFonts w:eastAsia="+mn-ea"/>
          <w:b/>
          <w:bCs/>
          <w:color w:val="000000"/>
          <w:kern w:val="24"/>
        </w:rPr>
        <w:t>Boham</w:t>
      </w:r>
      <w:proofErr w:type="spellEnd"/>
      <w:r>
        <w:rPr>
          <w:rFonts w:ascii="Calibri" w:eastAsia="+mn-ea" w:hAnsi="Calibri" w:cs="+mn-cs"/>
          <w:color w:val="000000"/>
          <w:kern w:val="24"/>
          <w:position w:val="7"/>
          <w:sz w:val="22"/>
          <w:szCs w:val="22"/>
          <w:vertAlign w:val="superscript"/>
        </w:rPr>
        <w:t>3</w:t>
      </w:r>
      <w:r>
        <w:rPr>
          <w:rFonts w:eastAsia="+mn-ea"/>
          <w:b/>
          <w:bCs/>
          <w:color w:val="000000"/>
          <w:kern w:val="24"/>
        </w:rPr>
        <w:t xml:space="preserve">, Eric </w:t>
      </w:r>
      <w:proofErr w:type="spellStart"/>
      <w:r>
        <w:rPr>
          <w:rFonts w:eastAsia="+mn-ea"/>
          <w:b/>
          <w:bCs/>
          <w:color w:val="000000"/>
          <w:kern w:val="24"/>
        </w:rPr>
        <w:t>Gyamerah</w:t>
      </w:r>
      <w:proofErr w:type="spellEnd"/>
      <w:r>
        <w:rPr>
          <w:rFonts w:eastAsia="+mn-ea"/>
          <w:b/>
          <w:bCs/>
          <w:color w:val="000000"/>
          <w:kern w:val="24"/>
        </w:rPr>
        <w:t xml:space="preserve"> </w:t>
      </w:r>
      <w:proofErr w:type="spellStart"/>
      <w:r>
        <w:rPr>
          <w:rFonts w:eastAsia="+mn-ea"/>
          <w:b/>
          <w:bCs/>
          <w:color w:val="000000"/>
          <w:kern w:val="24"/>
        </w:rPr>
        <w:t>Ofori</w:t>
      </w:r>
      <w:proofErr w:type="spellEnd"/>
      <w:r>
        <w:rPr>
          <w:rFonts w:ascii="Calibri" w:eastAsia="+mn-ea" w:hAnsi="Calibri" w:cs="+mn-cs"/>
          <w:color w:val="000000"/>
          <w:kern w:val="24"/>
          <w:position w:val="7"/>
          <w:sz w:val="22"/>
          <w:szCs w:val="22"/>
          <w:vertAlign w:val="superscript"/>
        </w:rPr>
        <w:t>4</w:t>
      </w:r>
      <w:r>
        <w:rPr>
          <w:rFonts w:eastAsia="+mn-ea"/>
          <w:b/>
          <w:bCs/>
          <w:color w:val="000000"/>
          <w:kern w:val="24"/>
        </w:rPr>
        <w:t xml:space="preserve">, Derrick </w:t>
      </w:r>
      <w:proofErr w:type="spellStart"/>
      <w:r>
        <w:rPr>
          <w:rFonts w:eastAsia="+mn-ea"/>
          <w:b/>
          <w:bCs/>
          <w:color w:val="000000"/>
          <w:kern w:val="24"/>
        </w:rPr>
        <w:t>Addae</w:t>
      </w:r>
      <w:proofErr w:type="spellEnd"/>
      <w:r>
        <w:rPr>
          <w:rFonts w:eastAsia="+mn-ea"/>
          <w:b/>
          <w:bCs/>
          <w:color w:val="000000"/>
          <w:kern w:val="24"/>
        </w:rPr>
        <w:t xml:space="preserve"> </w:t>
      </w:r>
      <w:proofErr w:type="spellStart"/>
      <w:r>
        <w:rPr>
          <w:rFonts w:eastAsia="+mn-ea"/>
          <w:b/>
          <w:bCs/>
          <w:color w:val="000000"/>
          <w:kern w:val="24"/>
        </w:rPr>
        <w:t>Mensah</w:t>
      </w:r>
      <w:proofErr w:type="spellEnd"/>
      <w:r>
        <w:rPr>
          <w:rFonts w:ascii="Calibri" w:eastAsia="+mn-ea" w:hAnsi="Calibri" w:cs="+mn-cs"/>
          <w:color w:val="000000"/>
          <w:kern w:val="24"/>
          <w:position w:val="7"/>
          <w:sz w:val="22"/>
          <w:szCs w:val="22"/>
          <w:vertAlign w:val="superscript"/>
        </w:rPr>
        <w:t>1</w:t>
      </w:r>
      <w:r>
        <w:rPr>
          <w:rFonts w:eastAsia="+mn-ea"/>
          <w:b/>
          <w:bCs/>
          <w:color w:val="000000"/>
          <w:kern w:val="24"/>
        </w:rPr>
        <w:t xml:space="preserve">, Seth </w:t>
      </w:r>
      <w:proofErr w:type="spellStart"/>
      <w:r>
        <w:rPr>
          <w:rFonts w:eastAsia="+mn-ea"/>
          <w:b/>
          <w:bCs/>
          <w:color w:val="000000"/>
          <w:kern w:val="24"/>
        </w:rPr>
        <w:t>Djan</w:t>
      </w:r>
      <w:proofErr w:type="spellEnd"/>
      <w:r>
        <w:rPr>
          <w:rFonts w:eastAsia="+mn-ea"/>
          <w:b/>
          <w:bCs/>
          <w:color w:val="000000"/>
          <w:kern w:val="24"/>
        </w:rPr>
        <w:t xml:space="preserve"> </w:t>
      </w:r>
      <w:proofErr w:type="spellStart"/>
      <w:r>
        <w:rPr>
          <w:rFonts w:eastAsia="+mn-ea"/>
          <w:b/>
          <w:bCs/>
          <w:color w:val="000000"/>
          <w:kern w:val="24"/>
        </w:rPr>
        <w:t>Boakye</w:t>
      </w:r>
      <w:proofErr w:type="spellEnd"/>
      <w:r>
        <w:rPr>
          <w:rFonts w:ascii="Calibri" w:eastAsia="+mn-ea" w:hAnsi="Calibri" w:cs="+mn-cs"/>
          <w:color w:val="000000"/>
          <w:kern w:val="24"/>
          <w:position w:val="7"/>
          <w:sz w:val="22"/>
          <w:szCs w:val="22"/>
          <w:vertAlign w:val="superscript"/>
        </w:rPr>
        <w:t>1</w:t>
      </w:r>
    </w:p>
    <w:p w:rsidR="003A7592" w:rsidRPr="003A7592" w:rsidRDefault="003A7592" w:rsidP="003A7592">
      <w:pPr>
        <w:pStyle w:val="NormalWeb"/>
        <w:spacing w:before="0" w:beforeAutospacing="0" w:after="0" w:afterAutospacing="0"/>
      </w:pPr>
      <w:r>
        <w:rPr>
          <w:rFonts w:eastAsia="+mn-ea"/>
          <w:b/>
          <w:bCs/>
          <w:color w:val="000000"/>
          <w:kern w:val="24"/>
        </w:rPr>
        <w:tab/>
      </w:r>
      <w:r w:rsidRPr="003A7592">
        <w:rPr>
          <w:rFonts w:eastAsia="+mn-ea"/>
          <w:color w:val="000000"/>
          <w:kern w:val="24"/>
          <w:position w:val="5"/>
          <w:vertAlign w:val="superscript"/>
        </w:rPr>
        <w:t xml:space="preserve">1 </w:t>
      </w:r>
      <w:r w:rsidRPr="003A7592">
        <w:rPr>
          <w:rFonts w:eastAsia="+mn-ea"/>
          <w:b/>
          <w:bCs/>
          <w:color w:val="000000"/>
          <w:kern w:val="24"/>
        </w:rPr>
        <w:t>Department of Medical Laboratory Science, University of Cape Coast, Ghana</w:t>
      </w:r>
    </w:p>
    <w:p w:rsidR="003A7592" w:rsidRPr="003A7592" w:rsidRDefault="003A7592" w:rsidP="003A7592">
      <w:pPr>
        <w:pStyle w:val="NormalWeb"/>
        <w:spacing w:before="0" w:beforeAutospacing="0" w:after="0" w:afterAutospacing="0"/>
      </w:pPr>
      <w:r w:rsidRPr="003A7592">
        <w:rPr>
          <w:rFonts w:eastAsia="+mn-ea"/>
          <w:b/>
          <w:bCs/>
          <w:color w:val="000000"/>
          <w:kern w:val="24"/>
        </w:rPr>
        <w:tab/>
      </w:r>
      <w:r w:rsidRPr="003A7592">
        <w:rPr>
          <w:rFonts w:eastAsia="+mn-ea"/>
          <w:color w:val="000000"/>
          <w:kern w:val="24"/>
          <w:position w:val="5"/>
          <w:vertAlign w:val="superscript"/>
        </w:rPr>
        <w:t xml:space="preserve">2 </w:t>
      </w:r>
      <w:r w:rsidRPr="003A7592">
        <w:rPr>
          <w:rFonts w:eastAsia="+mn-ea"/>
          <w:b/>
          <w:bCs/>
          <w:color w:val="000000"/>
          <w:kern w:val="24"/>
        </w:rPr>
        <w:t>Department of Biomedical Sciences, University of Cape Coast, Ghana</w:t>
      </w:r>
    </w:p>
    <w:p w:rsidR="003A7592" w:rsidRPr="003A7592" w:rsidRDefault="003A7592" w:rsidP="003A7592">
      <w:pPr>
        <w:pStyle w:val="NormalWeb"/>
        <w:spacing w:before="0" w:beforeAutospacing="0" w:after="0" w:afterAutospacing="0"/>
      </w:pPr>
      <w:r w:rsidRPr="003A7592">
        <w:rPr>
          <w:rFonts w:eastAsia="+mn-ea"/>
          <w:b/>
          <w:bCs/>
          <w:color w:val="000000"/>
          <w:kern w:val="24"/>
        </w:rPr>
        <w:tab/>
      </w:r>
      <w:r w:rsidRPr="003A7592">
        <w:rPr>
          <w:rFonts w:eastAsia="+mn-ea"/>
          <w:color w:val="000000"/>
          <w:kern w:val="24"/>
          <w:position w:val="5"/>
          <w:vertAlign w:val="superscript"/>
        </w:rPr>
        <w:t xml:space="preserve">3 </w:t>
      </w:r>
      <w:r w:rsidRPr="003A7592">
        <w:rPr>
          <w:rFonts w:eastAsia="+mn-ea"/>
          <w:b/>
          <w:bCs/>
          <w:color w:val="000000"/>
          <w:kern w:val="24"/>
        </w:rPr>
        <w:t>Department of Anatomy, University of Ghana, Ghana</w:t>
      </w:r>
    </w:p>
    <w:p w:rsidR="003A7592" w:rsidRPr="003A7592" w:rsidRDefault="003A7592" w:rsidP="003A7592">
      <w:pPr>
        <w:pStyle w:val="NormalWeb"/>
        <w:spacing w:before="0" w:beforeAutospacing="0" w:after="0" w:afterAutospacing="0"/>
      </w:pPr>
      <w:r w:rsidRPr="003A7592">
        <w:rPr>
          <w:rFonts w:eastAsia="+mn-ea"/>
          <w:b/>
          <w:bCs/>
          <w:color w:val="000000"/>
          <w:kern w:val="24"/>
        </w:rPr>
        <w:tab/>
      </w:r>
      <w:r w:rsidRPr="003A7592">
        <w:rPr>
          <w:rFonts w:eastAsia="+mn-ea"/>
          <w:color w:val="000000"/>
          <w:kern w:val="24"/>
          <w:position w:val="5"/>
          <w:vertAlign w:val="superscript"/>
        </w:rPr>
        <w:t xml:space="preserve">4 </w:t>
      </w:r>
      <w:r w:rsidRPr="003A7592">
        <w:rPr>
          <w:rFonts w:eastAsia="+mn-ea"/>
          <w:b/>
          <w:bCs/>
          <w:color w:val="000000"/>
          <w:kern w:val="24"/>
        </w:rPr>
        <w:t>Department of Biochemistry, University of Cape Coast, Ghana</w:t>
      </w:r>
    </w:p>
    <w:p w:rsidR="003A7592" w:rsidRDefault="003A7592" w:rsidP="003A7592">
      <w:pPr>
        <w:pStyle w:val="NormalWeb"/>
        <w:spacing w:before="0" w:beforeAutospacing="0" w:after="160" w:afterAutospacing="0"/>
        <w:jc w:val="center"/>
        <w:rPr>
          <w:rFonts w:eastAsia="Calibri"/>
          <w:b/>
          <w:bCs/>
          <w:color w:val="000000"/>
          <w:kern w:val="24"/>
        </w:rPr>
      </w:pPr>
    </w:p>
    <w:p w:rsidR="003A7592" w:rsidRDefault="003A7592" w:rsidP="003A7592">
      <w:pPr>
        <w:pStyle w:val="NormalWeb"/>
        <w:spacing w:before="0" w:beforeAutospacing="0" w:after="160" w:afterAutospacing="0"/>
        <w:jc w:val="center"/>
        <w:rPr>
          <w:rFonts w:eastAsia="Calibri"/>
          <w:b/>
          <w:bCs/>
          <w:color w:val="000000"/>
          <w:kern w:val="24"/>
        </w:rPr>
      </w:pPr>
      <w:r>
        <w:rPr>
          <w:rFonts w:eastAsia="Calibri"/>
          <w:b/>
          <w:bCs/>
          <w:color w:val="000000"/>
          <w:kern w:val="24"/>
        </w:rPr>
        <w:t xml:space="preserve">ABSTRACT </w:t>
      </w:r>
    </w:p>
    <w:p w:rsidR="009229EF" w:rsidRPr="009229EF" w:rsidRDefault="009229EF" w:rsidP="009229EF">
      <w:pPr>
        <w:pStyle w:val="NormalWeb"/>
        <w:spacing w:before="0" w:beforeAutospacing="0" w:after="160" w:afterAutospacing="0"/>
        <w:jc w:val="both"/>
      </w:pPr>
      <w:r w:rsidRPr="009229EF">
        <w:rPr>
          <w:rFonts w:eastAsia="Calibri"/>
          <w:b/>
          <w:bCs/>
          <w:color w:val="000000"/>
          <w:kern w:val="24"/>
        </w:rPr>
        <w:t>Background</w:t>
      </w:r>
      <w:r w:rsidRPr="009229EF">
        <w:rPr>
          <w:rFonts w:eastAsia="Calibri"/>
          <w:color w:val="000000"/>
          <w:kern w:val="24"/>
        </w:rPr>
        <w:t xml:space="preserve">: </w:t>
      </w:r>
      <w:proofErr w:type="spellStart"/>
      <w:r w:rsidRPr="009229EF">
        <w:rPr>
          <w:rFonts w:eastAsia="Calibri"/>
          <w:i/>
          <w:iCs/>
          <w:color w:val="000000"/>
          <w:kern w:val="24"/>
        </w:rPr>
        <w:t>Abrus</w:t>
      </w:r>
      <w:proofErr w:type="spellEnd"/>
      <w:r w:rsidRPr="009229EF">
        <w:rPr>
          <w:rFonts w:eastAsia="Calibri"/>
          <w:i/>
          <w:iCs/>
          <w:color w:val="000000"/>
          <w:kern w:val="24"/>
        </w:rPr>
        <w:t xml:space="preserve"> </w:t>
      </w:r>
      <w:proofErr w:type="spellStart"/>
      <w:r w:rsidRPr="009229EF">
        <w:rPr>
          <w:rFonts w:eastAsia="Calibri"/>
          <w:i/>
          <w:iCs/>
          <w:color w:val="000000"/>
          <w:kern w:val="24"/>
        </w:rPr>
        <w:t>precatorius</w:t>
      </w:r>
      <w:proofErr w:type="spellEnd"/>
      <w:r w:rsidRPr="009229EF">
        <w:rPr>
          <w:rFonts w:eastAsia="Calibri"/>
          <w:color w:val="000000"/>
          <w:kern w:val="24"/>
        </w:rPr>
        <w:t xml:space="preserve"> is used in folklore medicine in Ghana to treat diabetes mellitus and asthma. </w:t>
      </w:r>
    </w:p>
    <w:p w:rsidR="009229EF" w:rsidRPr="009229EF" w:rsidRDefault="009229EF" w:rsidP="009229EF">
      <w:pPr>
        <w:pStyle w:val="NormalWeb"/>
        <w:spacing w:before="0" w:beforeAutospacing="0" w:after="160" w:afterAutospacing="0"/>
        <w:jc w:val="both"/>
      </w:pPr>
      <w:r w:rsidRPr="009229EF">
        <w:rPr>
          <w:rFonts w:eastAsia="Calibri"/>
          <w:b/>
          <w:bCs/>
          <w:color w:val="000000"/>
          <w:kern w:val="24"/>
        </w:rPr>
        <w:t>Objective</w:t>
      </w:r>
      <w:r w:rsidRPr="009229EF">
        <w:rPr>
          <w:rFonts w:eastAsia="Calibri"/>
          <w:color w:val="000000"/>
          <w:kern w:val="24"/>
        </w:rPr>
        <w:t xml:space="preserve">: The study investigated </w:t>
      </w:r>
      <w:proofErr w:type="spellStart"/>
      <w:r w:rsidRPr="009229EF">
        <w:rPr>
          <w:rFonts w:eastAsia="Calibri"/>
          <w:color w:val="000000"/>
          <w:kern w:val="24"/>
        </w:rPr>
        <w:t>hypoglycaemic</w:t>
      </w:r>
      <w:proofErr w:type="spellEnd"/>
      <w:r w:rsidRPr="009229EF">
        <w:rPr>
          <w:rFonts w:eastAsia="Calibri"/>
          <w:color w:val="000000"/>
          <w:kern w:val="24"/>
        </w:rPr>
        <w:t xml:space="preserve"> effect </w:t>
      </w:r>
      <w:r w:rsidR="00433D41" w:rsidRPr="009229EF">
        <w:rPr>
          <w:rFonts w:eastAsia="Calibri"/>
          <w:color w:val="000000"/>
          <w:kern w:val="24"/>
        </w:rPr>
        <w:t xml:space="preserve">of </w:t>
      </w:r>
      <w:proofErr w:type="spellStart"/>
      <w:r w:rsidR="00433D41" w:rsidRPr="00433D41">
        <w:rPr>
          <w:rFonts w:eastAsia="Calibri"/>
          <w:i/>
          <w:color w:val="000000"/>
          <w:kern w:val="24"/>
        </w:rPr>
        <w:t>Abrus</w:t>
      </w:r>
      <w:proofErr w:type="spellEnd"/>
      <w:r w:rsidRPr="009229EF">
        <w:rPr>
          <w:rFonts w:eastAsia="Calibri"/>
          <w:i/>
          <w:iCs/>
          <w:color w:val="000000"/>
          <w:kern w:val="24"/>
        </w:rPr>
        <w:t xml:space="preserve"> </w:t>
      </w:r>
      <w:proofErr w:type="spellStart"/>
      <w:r w:rsidRPr="009229EF">
        <w:rPr>
          <w:rFonts w:eastAsia="Calibri"/>
          <w:i/>
          <w:iCs/>
          <w:color w:val="000000"/>
          <w:kern w:val="24"/>
        </w:rPr>
        <w:t>precatorius</w:t>
      </w:r>
      <w:proofErr w:type="spellEnd"/>
      <w:r w:rsidRPr="009229EF">
        <w:rPr>
          <w:rFonts w:eastAsia="Calibri"/>
          <w:color w:val="000000"/>
          <w:kern w:val="24"/>
        </w:rPr>
        <w:t xml:space="preserve"> leaf extract (APLE) and its possible mechanisms of action by using </w:t>
      </w:r>
      <w:r w:rsidRPr="009229EF">
        <w:rPr>
          <w:rFonts w:eastAsia="Calibri"/>
          <w:i/>
          <w:iCs/>
          <w:color w:val="000000"/>
          <w:kern w:val="24"/>
        </w:rPr>
        <w:t>in vivo</w:t>
      </w:r>
      <w:r w:rsidRPr="009229EF">
        <w:rPr>
          <w:rFonts w:eastAsia="Calibri"/>
          <w:color w:val="000000"/>
          <w:kern w:val="24"/>
        </w:rPr>
        <w:t xml:space="preserve"> and </w:t>
      </w:r>
      <w:r w:rsidRPr="009229EF">
        <w:rPr>
          <w:rFonts w:eastAsia="Calibri"/>
          <w:i/>
          <w:iCs/>
          <w:color w:val="000000"/>
          <w:kern w:val="24"/>
        </w:rPr>
        <w:t>in vitro</w:t>
      </w:r>
      <w:r w:rsidRPr="009229EF">
        <w:rPr>
          <w:rFonts w:eastAsia="Calibri"/>
          <w:color w:val="000000"/>
          <w:kern w:val="24"/>
        </w:rPr>
        <w:t xml:space="preserve"> models. </w:t>
      </w:r>
    </w:p>
    <w:p w:rsidR="009229EF" w:rsidRPr="009229EF" w:rsidRDefault="009229EF" w:rsidP="009229EF">
      <w:pPr>
        <w:pStyle w:val="NormalWeb"/>
        <w:spacing w:before="0" w:beforeAutospacing="0" w:after="160" w:afterAutospacing="0"/>
        <w:jc w:val="both"/>
      </w:pPr>
      <w:r w:rsidRPr="009229EF">
        <w:rPr>
          <w:rFonts w:eastAsia="Calibri"/>
          <w:b/>
          <w:bCs/>
          <w:color w:val="000000"/>
          <w:kern w:val="24"/>
        </w:rPr>
        <w:t>Method:</w:t>
      </w:r>
      <w:r w:rsidRPr="009229EF">
        <w:rPr>
          <w:rFonts w:eastAsia="Calibri"/>
          <w:color w:val="000000"/>
          <w:kern w:val="24"/>
        </w:rPr>
        <w:t xml:space="preserve"> Diabetes mellitus (DM) was experimentally established in </w:t>
      </w:r>
      <w:proofErr w:type="spellStart"/>
      <w:r w:rsidRPr="009229EF">
        <w:rPr>
          <w:rFonts w:eastAsia="Calibri"/>
          <w:color w:val="000000"/>
          <w:kern w:val="24"/>
        </w:rPr>
        <w:t>normoglycaemic</w:t>
      </w:r>
      <w:proofErr w:type="spellEnd"/>
      <w:r w:rsidRPr="009229EF">
        <w:rPr>
          <w:rFonts w:eastAsia="Calibri"/>
          <w:color w:val="000000"/>
          <w:kern w:val="24"/>
        </w:rPr>
        <w:t xml:space="preserve"> </w:t>
      </w:r>
      <w:proofErr w:type="spellStart"/>
      <w:r w:rsidRPr="009229EF">
        <w:rPr>
          <w:rFonts w:eastAsia="Calibri"/>
          <w:color w:val="000000"/>
          <w:kern w:val="24"/>
        </w:rPr>
        <w:t>Wistar</w:t>
      </w:r>
      <w:proofErr w:type="spellEnd"/>
      <w:r w:rsidRPr="009229EF">
        <w:rPr>
          <w:rFonts w:eastAsia="Calibri"/>
          <w:color w:val="000000"/>
          <w:kern w:val="24"/>
        </w:rPr>
        <w:t xml:space="preserve"> rats (16 weeks) by sequential injection of </w:t>
      </w:r>
      <w:proofErr w:type="spellStart"/>
      <w:r w:rsidRPr="009229EF">
        <w:rPr>
          <w:rFonts w:eastAsia="Calibri"/>
          <w:color w:val="000000"/>
          <w:kern w:val="24"/>
        </w:rPr>
        <w:t>Streptozotocin</w:t>
      </w:r>
      <w:proofErr w:type="spellEnd"/>
      <w:r w:rsidRPr="009229EF">
        <w:rPr>
          <w:rFonts w:eastAsia="Calibri"/>
          <w:color w:val="000000"/>
          <w:kern w:val="24"/>
        </w:rPr>
        <w:t xml:space="preserve"> (STZ)-citrate buffer (60 mg/kg </w:t>
      </w:r>
      <w:proofErr w:type="spellStart"/>
      <w:r w:rsidRPr="009229EF">
        <w:rPr>
          <w:rFonts w:eastAsia="Calibri"/>
          <w:i/>
          <w:iCs/>
          <w:color w:val="000000"/>
          <w:kern w:val="24"/>
        </w:rPr>
        <w:t>ip</w:t>
      </w:r>
      <w:proofErr w:type="spellEnd"/>
      <w:r w:rsidRPr="009229EF">
        <w:rPr>
          <w:rFonts w:eastAsia="Calibri"/>
          <w:color w:val="000000"/>
          <w:kern w:val="24"/>
        </w:rPr>
        <w:t xml:space="preserve">) and </w:t>
      </w:r>
      <w:proofErr w:type="spellStart"/>
      <w:r w:rsidRPr="009229EF">
        <w:rPr>
          <w:rFonts w:eastAsia="Calibri"/>
          <w:color w:val="000000"/>
          <w:kern w:val="24"/>
        </w:rPr>
        <w:t>nicotinamide</w:t>
      </w:r>
      <w:proofErr w:type="spellEnd"/>
      <w:r w:rsidRPr="009229EF">
        <w:rPr>
          <w:rFonts w:eastAsia="Calibri"/>
          <w:color w:val="000000"/>
          <w:kern w:val="24"/>
        </w:rPr>
        <w:t xml:space="preserve"> (NIC)-saline solution (110 mg/kg </w:t>
      </w:r>
      <w:proofErr w:type="spellStart"/>
      <w:r w:rsidRPr="009229EF">
        <w:rPr>
          <w:rFonts w:eastAsia="Calibri"/>
          <w:i/>
          <w:iCs/>
          <w:color w:val="000000"/>
          <w:kern w:val="24"/>
        </w:rPr>
        <w:t>ip</w:t>
      </w:r>
      <w:proofErr w:type="spellEnd"/>
      <w:r w:rsidRPr="009229EF">
        <w:rPr>
          <w:rFonts w:eastAsia="Calibri"/>
          <w:color w:val="000000"/>
          <w:kern w:val="24"/>
        </w:rPr>
        <w:t xml:space="preserve">).  With the exception of the sham group (No STZ/NIC injection; normal saline, 5 ml/kg </w:t>
      </w:r>
      <w:proofErr w:type="spellStart"/>
      <w:r w:rsidRPr="009229EF">
        <w:rPr>
          <w:rFonts w:eastAsia="Calibri"/>
          <w:i/>
          <w:iCs/>
          <w:color w:val="000000"/>
          <w:kern w:val="24"/>
        </w:rPr>
        <w:t>ip</w:t>
      </w:r>
      <w:proofErr w:type="spellEnd"/>
      <w:r w:rsidRPr="009229EF">
        <w:rPr>
          <w:rFonts w:eastAsia="Calibri"/>
          <w:i/>
          <w:iCs/>
          <w:color w:val="000000"/>
          <w:kern w:val="24"/>
        </w:rPr>
        <w:t xml:space="preserve">; </w:t>
      </w:r>
      <w:r w:rsidRPr="009229EF">
        <w:rPr>
          <w:rFonts w:eastAsia="Calibri"/>
          <w:color w:val="000000"/>
          <w:kern w:val="24"/>
        </w:rPr>
        <w:t>baseline</w:t>
      </w:r>
      <w:r w:rsidRPr="009229EF">
        <w:rPr>
          <w:rFonts w:eastAsia="Calibri"/>
          <w:i/>
          <w:iCs/>
          <w:color w:val="000000"/>
          <w:kern w:val="24"/>
        </w:rPr>
        <w:t xml:space="preserve"> </w:t>
      </w:r>
      <w:r w:rsidRPr="009229EF">
        <w:rPr>
          <w:rFonts w:eastAsia="Calibri"/>
          <w:color w:val="000000"/>
          <w:kern w:val="24"/>
        </w:rPr>
        <w:t xml:space="preserve">FBG = 6.48 </w:t>
      </w:r>
      <w:proofErr w:type="spellStart"/>
      <w:r w:rsidRPr="009229EF">
        <w:rPr>
          <w:rFonts w:eastAsia="Calibri"/>
          <w:color w:val="000000"/>
          <w:kern w:val="24"/>
        </w:rPr>
        <w:t>mmol</w:t>
      </w:r>
      <w:proofErr w:type="spellEnd"/>
      <w:r w:rsidRPr="009229EF">
        <w:rPr>
          <w:rFonts w:eastAsia="Calibri"/>
          <w:color w:val="000000"/>
          <w:kern w:val="24"/>
        </w:rPr>
        <w:t xml:space="preserve">/L), rats with fasting blood glucose (FBG) stable between 28 – 32.5 </w:t>
      </w:r>
      <w:proofErr w:type="spellStart"/>
      <w:r w:rsidRPr="009229EF">
        <w:rPr>
          <w:rFonts w:eastAsia="Calibri"/>
          <w:color w:val="000000"/>
          <w:kern w:val="24"/>
        </w:rPr>
        <w:t>mmol</w:t>
      </w:r>
      <w:proofErr w:type="spellEnd"/>
      <w:r w:rsidRPr="009229EF">
        <w:rPr>
          <w:rFonts w:eastAsia="Calibri"/>
          <w:color w:val="000000"/>
          <w:kern w:val="24"/>
        </w:rPr>
        <w:t xml:space="preserve">/L seven days post STZ/NIC injection were randomly re-assigned to the following groups: model (STZ/NIC-induced hyperglycemia in rats; no treatment), APLE (100, 200 and 400 mg/kg respectively </w:t>
      </w:r>
      <w:proofErr w:type="spellStart"/>
      <w:r w:rsidRPr="009229EF">
        <w:rPr>
          <w:rFonts w:eastAsia="Calibri"/>
          <w:i/>
          <w:iCs/>
          <w:color w:val="000000"/>
          <w:kern w:val="24"/>
        </w:rPr>
        <w:t>po</w:t>
      </w:r>
      <w:proofErr w:type="spellEnd"/>
      <w:r w:rsidRPr="009229EF">
        <w:rPr>
          <w:rFonts w:eastAsia="Calibri"/>
          <w:color w:val="000000"/>
          <w:kern w:val="24"/>
        </w:rPr>
        <w:t xml:space="preserve">) and  metformin (300 mg/kg </w:t>
      </w:r>
      <w:proofErr w:type="spellStart"/>
      <w:r w:rsidRPr="009229EF">
        <w:rPr>
          <w:rFonts w:eastAsia="Calibri"/>
          <w:i/>
          <w:iCs/>
          <w:color w:val="000000"/>
          <w:kern w:val="24"/>
        </w:rPr>
        <w:t>po</w:t>
      </w:r>
      <w:proofErr w:type="spellEnd"/>
      <w:r w:rsidRPr="009229EF">
        <w:rPr>
          <w:rFonts w:eastAsia="Calibri"/>
          <w:color w:val="000000"/>
          <w:kern w:val="24"/>
        </w:rPr>
        <w:t xml:space="preserve">) and treated for 28 days. Bodyweight and FBG were measured on weekly basis. FBG was determined by using standard glucose test strips on blood obtained from tail-puncture. At the end of treatment rats were sacrificed under chloroform anesthesia, blood collected via cardiac puncture and brain, kidney, liver and pancreas harvested. While the pancreas was processed, sectioned and H&amp;E-stained for histological examination, the kidney and liver were homogenized for assessment of total anti-oxidant capacity. Median cross-sectional area of the pancreatic islets of Langerhans was determined for each group. Total antioxidant capacity of plasma and DPPH scavenging ability were determined by using ascorbic acid as standard. Also, </w:t>
      </w:r>
      <w:r w:rsidRPr="009229EF">
        <w:rPr>
          <w:rFonts w:eastAsia="Calibri"/>
          <w:color w:val="000000"/>
          <w:kern w:val="24"/>
          <w:lang w:val="el-GR"/>
        </w:rPr>
        <w:t>α</w:t>
      </w:r>
      <w:r w:rsidRPr="009229EF">
        <w:rPr>
          <w:rFonts w:eastAsia="Calibri"/>
          <w:color w:val="000000"/>
          <w:kern w:val="24"/>
        </w:rPr>
        <w:t>-</w:t>
      </w:r>
      <w:proofErr w:type="spellStart"/>
      <w:r w:rsidRPr="009229EF">
        <w:rPr>
          <w:rFonts w:eastAsia="Calibri"/>
          <w:color w:val="000000"/>
          <w:kern w:val="24"/>
        </w:rPr>
        <w:t>glucosidase</w:t>
      </w:r>
      <w:proofErr w:type="spellEnd"/>
      <w:r w:rsidRPr="009229EF">
        <w:rPr>
          <w:rFonts w:eastAsia="Calibri"/>
          <w:color w:val="000000"/>
          <w:kern w:val="24"/>
        </w:rPr>
        <w:t xml:space="preserve"> inhibitory effect of APLE was assessed relative to </w:t>
      </w:r>
      <w:proofErr w:type="spellStart"/>
      <w:r w:rsidRPr="009229EF">
        <w:rPr>
          <w:rFonts w:eastAsia="Calibri"/>
          <w:color w:val="000000"/>
          <w:kern w:val="24"/>
        </w:rPr>
        <w:t>acarbose</w:t>
      </w:r>
      <w:proofErr w:type="spellEnd"/>
      <w:r w:rsidRPr="009229EF">
        <w:rPr>
          <w:rFonts w:eastAsia="Calibri"/>
          <w:color w:val="000000"/>
          <w:kern w:val="24"/>
        </w:rPr>
        <w:t xml:space="preserve"> standard. </w:t>
      </w:r>
    </w:p>
    <w:p w:rsidR="009229EF" w:rsidRPr="009229EF" w:rsidRDefault="009229EF" w:rsidP="009229EF">
      <w:pPr>
        <w:pStyle w:val="NormalWeb"/>
        <w:spacing w:before="0" w:beforeAutospacing="0" w:after="160" w:afterAutospacing="0"/>
        <w:jc w:val="both"/>
      </w:pPr>
      <w:r w:rsidRPr="009229EF">
        <w:rPr>
          <w:rFonts w:eastAsia="Calibri"/>
          <w:b/>
          <w:bCs/>
          <w:color w:val="000000"/>
          <w:kern w:val="24"/>
        </w:rPr>
        <w:t xml:space="preserve">Results: </w:t>
      </w:r>
      <w:r w:rsidRPr="009229EF">
        <w:rPr>
          <w:rFonts w:eastAsia="Calibri"/>
          <w:color w:val="000000"/>
          <w:kern w:val="24"/>
        </w:rPr>
        <w:t>At the end of 28 days post STZ/NIC treatment, cumulatively APLE (100, 200 and 400 mg/kg respectively) significantly (P &lt; 0.05) decreased the initial FBG by 55.22, 76.15 and 77.77 % respectively) compared to model (-1.04 %) and metformin (72.29 %) groups. APLE increased median cross-sectional area (x10</w:t>
      </w:r>
      <w:r w:rsidRPr="009229EF">
        <w:rPr>
          <w:rFonts w:eastAsia="Calibri"/>
          <w:color w:val="000000"/>
          <w:kern w:val="24"/>
          <w:position w:val="5"/>
          <w:vertAlign w:val="superscript"/>
        </w:rPr>
        <w:t xml:space="preserve">6 </w:t>
      </w:r>
      <w:proofErr w:type="spellStart"/>
      <w:r w:rsidRPr="009229EF">
        <w:rPr>
          <w:rFonts w:eastAsia="Calibri"/>
          <w:color w:val="000000"/>
          <w:kern w:val="24"/>
        </w:rPr>
        <w:t>μm</w:t>
      </w:r>
      <w:proofErr w:type="spellEnd"/>
      <w:r w:rsidRPr="009229EF">
        <w:rPr>
          <w:rFonts w:eastAsia="Calibri"/>
          <w:color w:val="000000"/>
          <w:kern w:val="24"/>
          <w:position w:val="5"/>
          <w:vertAlign w:val="superscript"/>
        </w:rPr>
        <w:t>2</w:t>
      </w:r>
      <w:r w:rsidRPr="009229EF">
        <w:rPr>
          <w:rFonts w:eastAsia="Calibri"/>
          <w:color w:val="000000"/>
          <w:kern w:val="24"/>
        </w:rPr>
        <w:t xml:space="preserve">) of pancreatic islets compared to that of model group. APLE produced dose-dependent decrease in immune cell infiltration relative to model group.  Generally APLE (400 mg/kg; 5.21 ± 0.02 </w:t>
      </w:r>
      <w:proofErr w:type="spellStart"/>
      <w:r w:rsidRPr="009229EF">
        <w:rPr>
          <w:rFonts w:eastAsia="Calibri"/>
          <w:color w:val="000000"/>
          <w:kern w:val="24"/>
        </w:rPr>
        <w:t>AscAE</w:t>
      </w:r>
      <w:proofErr w:type="spellEnd"/>
      <w:r w:rsidRPr="009229EF">
        <w:rPr>
          <w:rFonts w:eastAsia="Calibri"/>
          <w:color w:val="000000"/>
          <w:kern w:val="24"/>
        </w:rPr>
        <w:t xml:space="preserve"> </w:t>
      </w:r>
      <w:proofErr w:type="spellStart"/>
      <w:r w:rsidRPr="009229EF">
        <w:rPr>
          <w:rFonts w:eastAsia="Calibri"/>
          <w:color w:val="000000"/>
          <w:kern w:val="24"/>
        </w:rPr>
        <w:t>μg</w:t>
      </w:r>
      <w:proofErr w:type="spellEnd"/>
      <w:r w:rsidRPr="009229EF">
        <w:rPr>
          <w:rFonts w:eastAsia="Calibri"/>
          <w:color w:val="000000"/>
          <w:kern w:val="24"/>
        </w:rPr>
        <w:t>/mL) produced significant (P &lt; 0.05) plasma ascorbic acid equivalent (</w:t>
      </w:r>
      <w:proofErr w:type="spellStart"/>
      <w:r w:rsidRPr="009229EF">
        <w:rPr>
          <w:rFonts w:eastAsia="Calibri"/>
          <w:color w:val="000000"/>
          <w:kern w:val="24"/>
        </w:rPr>
        <w:t>AscAE</w:t>
      </w:r>
      <w:proofErr w:type="spellEnd"/>
      <w:r w:rsidRPr="009229EF">
        <w:rPr>
          <w:rFonts w:eastAsia="Calibri"/>
          <w:color w:val="000000"/>
          <w:kern w:val="24"/>
        </w:rPr>
        <w:t xml:space="preserve"> </w:t>
      </w:r>
      <w:proofErr w:type="spellStart"/>
      <w:r w:rsidRPr="009229EF">
        <w:rPr>
          <w:rFonts w:eastAsia="Calibri"/>
          <w:color w:val="000000"/>
          <w:kern w:val="24"/>
        </w:rPr>
        <w:t>μg</w:t>
      </w:r>
      <w:proofErr w:type="spellEnd"/>
      <w:r w:rsidRPr="009229EF">
        <w:rPr>
          <w:rFonts w:eastAsia="Calibri"/>
          <w:color w:val="000000"/>
          <w:kern w:val="24"/>
        </w:rPr>
        <w:t xml:space="preserve">/mL) TAC compared to model (4.06 ± 0.04 </w:t>
      </w:r>
      <w:proofErr w:type="spellStart"/>
      <w:r w:rsidRPr="009229EF">
        <w:rPr>
          <w:rFonts w:eastAsia="Calibri"/>
          <w:color w:val="000000"/>
          <w:kern w:val="24"/>
        </w:rPr>
        <w:t>AscAE</w:t>
      </w:r>
      <w:proofErr w:type="spellEnd"/>
      <w:r w:rsidRPr="009229EF">
        <w:rPr>
          <w:rFonts w:eastAsia="Calibri"/>
          <w:color w:val="000000"/>
          <w:kern w:val="24"/>
        </w:rPr>
        <w:t xml:space="preserve"> </w:t>
      </w:r>
      <w:proofErr w:type="spellStart"/>
      <w:r w:rsidRPr="009229EF">
        <w:rPr>
          <w:rFonts w:eastAsia="Calibri"/>
          <w:color w:val="000000"/>
          <w:kern w:val="24"/>
        </w:rPr>
        <w:t>μg</w:t>
      </w:r>
      <w:proofErr w:type="spellEnd"/>
      <w:r w:rsidRPr="009229EF">
        <w:rPr>
          <w:rFonts w:eastAsia="Calibri"/>
          <w:color w:val="000000"/>
          <w:kern w:val="24"/>
        </w:rPr>
        <w:t xml:space="preserve">/mL) and metformin (4.87 ± 0.03 </w:t>
      </w:r>
      <w:proofErr w:type="spellStart"/>
      <w:r w:rsidRPr="009229EF">
        <w:rPr>
          <w:rFonts w:eastAsia="Calibri"/>
          <w:color w:val="000000"/>
          <w:kern w:val="24"/>
        </w:rPr>
        <w:t>AscAE</w:t>
      </w:r>
      <w:proofErr w:type="spellEnd"/>
      <w:r w:rsidRPr="009229EF">
        <w:rPr>
          <w:rFonts w:eastAsia="Calibri"/>
          <w:color w:val="000000"/>
          <w:kern w:val="24"/>
        </w:rPr>
        <w:t xml:space="preserve"> </w:t>
      </w:r>
      <w:proofErr w:type="spellStart"/>
      <w:r w:rsidRPr="009229EF">
        <w:rPr>
          <w:rFonts w:eastAsia="Calibri"/>
          <w:color w:val="000000"/>
          <w:kern w:val="24"/>
        </w:rPr>
        <w:t>μg</w:t>
      </w:r>
      <w:proofErr w:type="spellEnd"/>
      <w:r w:rsidRPr="009229EF">
        <w:rPr>
          <w:rFonts w:eastAsia="Calibri"/>
          <w:color w:val="000000"/>
          <w:kern w:val="24"/>
        </w:rPr>
        <w:t>/mL) groups. APLE produced concentration-dependent inhibitory activity against α-</w:t>
      </w:r>
      <w:proofErr w:type="spellStart"/>
      <w:r w:rsidRPr="009229EF">
        <w:rPr>
          <w:rFonts w:eastAsia="Calibri"/>
          <w:color w:val="000000"/>
          <w:kern w:val="24"/>
        </w:rPr>
        <w:t>glucosidase</w:t>
      </w:r>
      <w:proofErr w:type="spellEnd"/>
      <w:r w:rsidRPr="009229EF">
        <w:rPr>
          <w:rFonts w:eastAsia="Calibri"/>
          <w:color w:val="000000"/>
          <w:kern w:val="24"/>
        </w:rPr>
        <w:t xml:space="preserve"> activity at an IC</w:t>
      </w:r>
      <w:r w:rsidRPr="009229EF">
        <w:rPr>
          <w:rFonts w:eastAsia="Calibri"/>
          <w:color w:val="000000"/>
          <w:kern w:val="24"/>
          <w:position w:val="-4"/>
          <w:vertAlign w:val="subscript"/>
        </w:rPr>
        <w:t>50</w:t>
      </w:r>
      <w:r w:rsidRPr="009229EF">
        <w:rPr>
          <w:rFonts w:eastAsia="Calibri"/>
          <w:color w:val="000000"/>
          <w:kern w:val="24"/>
        </w:rPr>
        <w:t xml:space="preserve"> of 33.89 ± 0.06 </w:t>
      </w:r>
      <w:proofErr w:type="spellStart"/>
      <w:r w:rsidRPr="009229EF">
        <w:rPr>
          <w:rFonts w:eastAsia="Calibri"/>
          <w:color w:val="000000"/>
          <w:kern w:val="24"/>
        </w:rPr>
        <w:t>μg</w:t>
      </w:r>
      <w:proofErr w:type="spellEnd"/>
      <w:r w:rsidRPr="009229EF">
        <w:rPr>
          <w:rFonts w:eastAsia="Calibri"/>
          <w:color w:val="000000"/>
          <w:kern w:val="24"/>
        </w:rPr>
        <w:t xml:space="preserve">/mL comparable to that of </w:t>
      </w:r>
      <w:proofErr w:type="spellStart"/>
      <w:r w:rsidRPr="009229EF">
        <w:rPr>
          <w:rFonts w:eastAsia="Calibri"/>
          <w:color w:val="000000"/>
          <w:kern w:val="24"/>
        </w:rPr>
        <w:t>acarbose</w:t>
      </w:r>
      <w:proofErr w:type="spellEnd"/>
      <w:r w:rsidRPr="009229EF">
        <w:rPr>
          <w:rFonts w:eastAsia="Calibri"/>
          <w:color w:val="000000"/>
          <w:kern w:val="24"/>
        </w:rPr>
        <w:t xml:space="preserve"> standard at an IC</w:t>
      </w:r>
      <w:r w:rsidRPr="009229EF">
        <w:rPr>
          <w:rFonts w:eastAsia="Calibri"/>
          <w:color w:val="000000"/>
          <w:kern w:val="24"/>
          <w:position w:val="-4"/>
          <w:vertAlign w:val="subscript"/>
        </w:rPr>
        <w:t>50</w:t>
      </w:r>
      <w:r w:rsidRPr="009229EF">
        <w:rPr>
          <w:rFonts w:eastAsia="Calibri"/>
          <w:color w:val="000000"/>
          <w:kern w:val="24"/>
        </w:rPr>
        <w:t xml:space="preserve"> 37.10 ± 0.45 </w:t>
      </w:r>
      <w:proofErr w:type="spellStart"/>
      <w:r w:rsidRPr="009229EF">
        <w:rPr>
          <w:rFonts w:eastAsia="Calibri"/>
          <w:color w:val="000000"/>
          <w:kern w:val="24"/>
        </w:rPr>
        <w:t>μg</w:t>
      </w:r>
      <w:proofErr w:type="spellEnd"/>
      <w:r w:rsidRPr="009229EF">
        <w:rPr>
          <w:rFonts w:eastAsia="Calibri"/>
          <w:color w:val="000000"/>
          <w:kern w:val="24"/>
        </w:rPr>
        <w:t>/</w:t>
      </w:r>
      <w:proofErr w:type="spellStart"/>
      <w:r w:rsidRPr="009229EF">
        <w:rPr>
          <w:rFonts w:eastAsia="Calibri"/>
          <w:color w:val="000000"/>
          <w:kern w:val="24"/>
        </w:rPr>
        <w:t>mL.</w:t>
      </w:r>
      <w:proofErr w:type="spellEnd"/>
      <w:r w:rsidRPr="009229EF">
        <w:rPr>
          <w:rFonts w:eastAsia="Calibri"/>
          <w:color w:val="000000"/>
          <w:kern w:val="24"/>
        </w:rPr>
        <w:t xml:space="preserve"> APLE produced concentration-dependent D</w:t>
      </w:r>
      <w:r>
        <w:rPr>
          <w:rFonts w:eastAsia="Calibri"/>
          <w:color w:val="000000"/>
          <w:kern w:val="24"/>
        </w:rPr>
        <w:t>PPH scavenging activity though</w:t>
      </w:r>
      <w:r w:rsidRPr="009229EF">
        <w:rPr>
          <w:rFonts w:eastAsia="Calibri"/>
          <w:color w:val="000000"/>
          <w:kern w:val="24"/>
        </w:rPr>
        <w:t xml:space="preserve"> lower </w:t>
      </w:r>
      <w:r>
        <w:rPr>
          <w:rFonts w:eastAsia="Calibri"/>
          <w:color w:val="000000"/>
          <w:kern w:val="24"/>
        </w:rPr>
        <w:t xml:space="preserve">in potency </w:t>
      </w:r>
      <w:r w:rsidRPr="009229EF">
        <w:rPr>
          <w:rFonts w:eastAsia="Calibri"/>
          <w:color w:val="000000"/>
          <w:kern w:val="24"/>
        </w:rPr>
        <w:t xml:space="preserve">compared to ascorbic acid. </w:t>
      </w:r>
    </w:p>
    <w:p w:rsidR="009229EF" w:rsidRPr="009229EF" w:rsidRDefault="009229EF" w:rsidP="009229EF">
      <w:pPr>
        <w:pStyle w:val="NormalWeb"/>
        <w:spacing w:before="0" w:beforeAutospacing="0" w:after="160" w:afterAutospacing="0"/>
        <w:jc w:val="both"/>
      </w:pPr>
      <w:r w:rsidRPr="009229EF">
        <w:rPr>
          <w:rFonts w:eastAsia="Calibri"/>
          <w:b/>
          <w:bCs/>
          <w:color w:val="000000"/>
          <w:kern w:val="24"/>
        </w:rPr>
        <w:lastRenderedPageBreak/>
        <w:t>Conclusion</w:t>
      </w:r>
      <w:r w:rsidRPr="009229EF">
        <w:rPr>
          <w:rFonts w:eastAsia="Calibri"/>
          <w:color w:val="000000"/>
          <w:kern w:val="24"/>
        </w:rPr>
        <w:t>: APLE produced hypoglycemic effect in STZ/NIC-induced hyperglycemic rats possibly mediated through inhibition of α-</w:t>
      </w:r>
      <w:proofErr w:type="spellStart"/>
      <w:r w:rsidRPr="009229EF">
        <w:rPr>
          <w:rFonts w:eastAsia="Calibri"/>
          <w:color w:val="000000"/>
          <w:kern w:val="24"/>
        </w:rPr>
        <w:t>glucosidase</w:t>
      </w:r>
      <w:proofErr w:type="spellEnd"/>
      <w:r w:rsidRPr="009229EF">
        <w:rPr>
          <w:rFonts w:eastAsia="Calibri"/>
          <w:color w:val="000000"/>
          <w:kern w:val="24"/>
        </w:rPr>
        <w:t xml:space="preserve"> activity; increased free radical scavenging and antioxidant activities as well as amelioration of pancreatic islet atrophy. </w:t>
      </w:r>
    </w:p>
    <w:sectPr w:rsidR="009229EF" w:rsidRPr="00922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915"/>
    <w:rsid w:val="003A7592"/>
    <w:rsid w:val="00433D41"/>
    <w:rsid w:val="00482D86"/>
    <w:rsid w:val="007F2915"/>
    <w:rsid w:val="009229EF"/>
    <w:rsid w:val="00980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29E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29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418417">
      <w:bodyDiv w:val="1"/>
      <w:marLeft w:val="0"/>
      <w:marRight w:val="0"/>
      <w:marTop w:val="0"/>
      <w:marBottom w:val="0"/>
      <w:divBdr>
        <w:top w:val="none" w:sz="0" w:space="0" w:color="auto"/>
        <w:left w:val="none" w:sz="0" w:space="0" w:color="auto"/>
        <w:bottom w:val="none" w:sz="0" w:space="0" w:color="auto"/>
        <w:right w:val="none" w:sz="0" w:space="0" w:color="auto"/>
      </w:divBdr>
    </w:div>
    <w:div w:id="96700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527</Words>
  <Characters>3007</Characters>
  <Application>Microsoft Office Word</Application>
  <DocSecurity>0</DocSecurity>
  <Lines>25</Lines>
  <Paragraphs>7</Paragraphs>
  <ScaleCrop>false</ScaleCrop>
  <Company/>
  <LinksUpToDate>false</LinksUpToDate>
  <CharactersWithSpaces>3527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Boye</dc:creator>
  <cp:keywords/>
  <dc:description/>
  <cp:lastModifiedBy>Boye</cp:lastModifiedBy>
  <cp:revision>5</cp:revision>
  <dcterms:created xsi:type="dcterms:W3CDTF">2018-01-22T12:42:00Z</dcterms:created>
  <dcterms:modified xsi:type="dcterms:W3CDTF">2018-01-22T12:47:00Z</dcterms:modified>
</cp:coreProperties>
</file>