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2CA" w:rsidRPr="007652CA" w:rsidRDefault="007652CA" w:rsidP="007652CA">
      <w:pPr>
        <w:pStyle w:val="NormalWeb"/>
        <w:spacing w:before="0" w:beforeAutospacing="0" w:after="0" w:afterAutospacing="0"/>
        <w:jc w:val="center"/>
      </w:pPr>
      <w:r w:rsidRPr="007652CA">
        <w:rPr>
          <w:rFonts w:eastAsia="Malgun Gothic"/>
          <w:b/>
          <w:bCs/>
          <w:color w:val="203864"/>
          <w:kern w:val="24"/>
        </w:rPr>
        <w:t xml:space="preserve">ANTI-MICROBIAL EFFECT OF </w:t>
      </w:r>
      <w:r w:rsidRPr="007652CA">
        <w:rPr>
          <w:rFonts w:eastAsia="Malgun Gothic"/>
          <w:b/>
          <w:bCs/>
          <w:i/>
          <w:iCs/>
          <w:color w:val="203864"/>
          <w:kern w:val="24"/>
        </w:rPr>
        <w:t xml:space="preserve">ZANTHOXYLUM ZANTHOXYLOIDES </w:t>
      </w:r>
      <w:r w:rsidRPr="007652CA">
        <w:rPr>
          <w:rFonts w:eastAsia="Malgun Gothic"/>
          <w:b/>
          <w:bCs/>
          <w:color w:val="203864"/>
          <w:kern w:val="24"/>
        </w:rPr>
        <w:t xml:space="preserve">LEAF EXTRACTS ON SELECTED ORAL PATHOGENS </w:t>
      </w:r>
      <w:r w:rsidRPr="007652CA">
        <w:rPr>
          <w:rFonts w:eastAsia="+mn-ea"/>
          <w:b/>
          <w:bCs/>
          <w:color w:val="203864"/>
          <w:kern w:val="24"/>
        </w:rPr>
        <w:tab/>
      </w:r>
    </w:p>
    <w:p w:rsidR="007652CA" w:rsidRPr="007652CA" w:rsidRDefault="007652CA" w:rsidP="007652CA">
      <w:pPr>
        <w:pStyle w:val="NormalWeb"/>
        <w:spacing w:before="0" w:beforeAutospacing="0" w:after="0" w:afterAutospacing="0"/>
        <w:jc w:val="center"/>
      </w:pPr>
      <w:r w:rsidRPr="007652CA">
        <w:rPr>
          <w:rFonts w:eastAsia="Malgun Gothic"/>
          <w:b/>
          <w:bCs/>
          <w:color w:val="000000"/>
          <w:kern w:val="24"/>
        </w:rPr>
        <w:t xml:space="preserve">Alex </w:t>
      </w:r>
      <w:proofErr w:type="spellStart"/>
      <w:r w:rsidRPr="007652CA">
        <w:rPr>
          <w:rFonts w:eastAsia="Malgun Gothic"/>
          <w:b/>
          <w:bCs/>
          <w:color w:val="000000"/>
          <w:kern w:val="24"/>
        </w:rPr>
        <w:t>Boye</w:t>
      </w:r>
      <w:proofErr w:type="spellEnd"/>
      <w:r w:rsidRPr="007652CA">
        <w:rPr>
          <w:rFonts w:eastAsia="Calibri"/>
          <w:color w:val="000000"/>
          <w:kern w:val="24"/>
          <w:position w:val="7"/>
          <w:vertAlign w:val="superscript"/>
        </w:rPr>
        <w:t>1</w:t>
      </w:r>
      <w:r w:rsidRPr="007652CA">
        <w:rPr>
          <w:b/>
          <w:bCs/>
          <w:color w:val="000000"/>
          <w:kern w:val="24"/>
        </w:rPr>
        <w:t xml:space="preserve">, Ernest </w:t>
      </w:r>
      <w:proofErr w:type="spellStart"/>
      <w:r w:rsidRPr="007652CA">
        <w:rPr>
          <w:b/>
          <w:bCs/>
          <w:color w:val="000000"/>
          <w:kern w:val="24"/>
        </w:rPr>
        <w:t>Amponsah</w:t>
      </w:r>
      <w:proofErr w:type="spellEnd"/>
      <w:r w:rsidRPr="007652CA">
        <w:rPr>
          <w:b/>
          <w:bCs/>
          <w:color w:val="000000"/>
          <w:kern w:val="24"/>
        </w:rPr>
        <w:t xml:space="preserve"> </w:t>
      </w:r>
      <w:proofErr w:type="spellStart"/>
      <w:r w:rsidRPr="007652CA">
        <w:rPr>
          <w:b/>
          <w:bCs/>
          <w:color w:val="000000"/>
          <w:kern w:val="24"/>
        </w:rPr>
        <w:t>Asiamah</w:t>
      </w:r>
      <w:proofErr w:type="spellEnd"/>
      <w:r w:rsidRPr="007652CA">
        <w:rPr>
          <w:rFonts w:eastAsia="Calibri"/>
          <w:color w:val="000000"/>
          <w:kern w:val="24"/>
          <w:position w:val="7"/>
          <w:vertAlign w:val="superscript"/>
        </w:rPr>
        <w:t>2</w:t>
      </w:r>
      <w:r>
        <w:rPr>
          <w:b/>
          <w:bCs/>
          <w:color w:val="000000"/>
          <w:kern w:val="24"/>
        </w:rPr>
        <w:t xml:space="preserve">, </w:t>
      </w:r>
      <w:r w:rsidRPr="007652CA">
        <w:rPr>
          <w:b/>
          <w:bCs/>
          <w:color w:val="000000"/>
          <w:kern w:val="24"/>
        </w:rPr>
        <w:t xml:space="preserve">Victor Yao </w:t>
      </w:r>
      <w:proofErr w:type="spellStart"/>
      <w:r w:rsidRPr="007652CA">
        <w:rPr>
          <w:b/>
          <w:bCs/>
          <w:color w:val="000000"/>
          <w:kern w:val="24"/>
        </w:rPr>
        <w:t>Atsu</w:t>
      </w:r>
      <w:proofErr w:type="spellEnd"/>
      <w:r w:rsidRPr="007652CA">
        <w:rPr>
          <w:b/>
          <w:bCs/>
          <w:color w:val="000000"/>
          <w:kern w:val="24"/>
        </w:rPr>
        <w:t xml:space="preserve"> </w:t>
      </w:r>
      <w:proofErr w:type="spellStart"/>
      <w:r w:rsidRPr="007652CA">
        <w:rPr>
          <w:b/>
          <w:bCs/>
          <w:color w:val="000000"/>
          <w:kern w:val="24"/>
        </w:rPr>
        <w:t>Barku</w:t>
      </w:r>
      <w:proofErr w:type="spellEnd"/>
      <w:r w:rsidRPr="007652CA">
        <w:rPr>
          <w:color w:val="000000"/>
          <w:kern w:val="24"/>
          <w:position w:val="7"/>
          <w:vertAlign w:val="superscript"/>
        </w:rPr>
        <w:t>3</w:t>
      </w:r>
      <w:r w:rsidRPr="007652CA">
        <w:rPr>
          <w:b/>
          <w:bCs/>
          <w:color w:val="000000"/>
          <w:kern w:val="24"/>
        </w:rPr>
        <w:t xml:space="preserve">, Frederick </w:t>
      </w:r>
      <w:proofErr w:type="spellStart"/>
      <w:r w:rsidRPr="007652CA">
        <w:rPr>
          <w:b/>
          <w:bCs/>
          <w:color w:val="000000"/>
          <w:kern w:val="24"/>
        </w:rPr>
        <w:t>Kumi-Ansah</w:t>
      </w:r>
      <w:proofErr w:type="spellEnd"/>
      <w:r w:rsidRPr="007652CA">
        <w:rPr>
          <w:rFonts w:eastAsia="Malgun Gothic"/>
          <w:color w:val="000000"/>
          <w:kern w:val="24"/>
          <w:position w:val="7"/>
          <w:vertAlign w:val="superscript"/>
        </w:rPr>
        <w:t>1</w:t>
      </w:r>
      <w:r>
        <w:rPr>
          <w:rFonts w:eastAsia="Malgun Gothic"/>
          <w:color w:val="000000"/>
          <w:kern w:val="24"/>
          <w:position w:val="7"/>
        </w:rPr>
        <w:t>,</w:t>
      </w:r>
      <w:r w:rsidRPr="007652CA">
        <w:rPr>
          <w:b/>
          <w:bCs/>
          <w:color w:val="000000"/>
          <w:kern w:val="24"/>
        </w:rPr>
        <w:t xml:space="preserve"> Leticia </w:t>
      </w:r>
      <w:proofErr w:type="spellStart"/>
      <w:r w:rsidRPr="007652CA">
        <w:rPr>
          <w:b/>
          <w:bCs/>
          <w:color w:val="000000"/>
          <w:kern w:val="24"/>
        </w:rPr>
        <w:t>Nyarkoh</w:t>
      </w:r>
      <w:proofErr w:type="spellEnd"/>
      <w:r w:rsidRPr="007652CA">
        <w:rPr>
          <w:b/>
          <w:bCs/>
          <w:color w:val="000000"/>
          <w:kern w:val="24"/>
        </w:rPr>
        <w:t xml:space="preserve"> </w:t>
      </w:r>
      <w:proofErr w:type="spellStart"/>
      <w:r w:rsidRPr="007652CA">
        <w:rPr>
          <w:b/>
          <w:bCs/>
          <w:color w:val="000000"/>
          <w:kern w:val="24"/>
        </w:rPr>
        <w:t>Akomanin</w:t>
      </w:r>
      <w:proofErr w:type="spellEnd"/>
      <w:r w:rsidRPr="007652CA">
        <w:rPr>
          <w:rFonts w:eastAsia="Calibri"/>
          <w:color w:val="000000"/>
          <w:kern w:val="24"/>
          <w:position w:val="7"/>
          <w:vertAlign w:val="superscript"/>
        </w:rPr>
        <w:t>1</w:t>
      </w:r>
    </w:p>
    <w:p w:rsidR="007652CA" w:rsidRPr="007652CA" w:rsidRDefault="007652CA" w:rsidP="007652CA">
      <w:pPr>
        <w:pStyle w:val="NormalWeb"/>
        <w:spacing w:before="0" w:beforeAutospacing="0" w:after="0" w:afterAutospacing="0"/>
        <w:jc w:val="center"/>
      </w:pPr>
      <w:r w:rsidRPr="007652CA">
        <w:rPr>
          <w:rFonts w:eastAsia="Malgun Gothic"/>
          <w:color w:val="000000"/>
          <w:kern w:val="24"/>
          <w:position w:val="5"/>
          <w:vertAlign w:val="superscript"/>
        </w:rPr>
        <w:t xml:space="preserve">1 </w:t>
      </w:r>
      <w:r w:rsidRPr="007652CA">
        <w:rPr>
          <w:b/>
          <w:bCs/>
          <w:color w:val="000000"/>
          <w:kern w:val="24"/>
        </w:rPr>
        <w:t>Department of Medical Laboratory Science, University of Cape Coast, Ghana</w:t>
      </w:r>
    </w:p>
    <w:p w:rsidR="007652CA" w:rsidRPr="007652CA" w:rsidRDefault="007652CA" w:rsidP="007652CA">
      <w:pPr>
        <w:pStyle w:val="NormalWeb"/>
        <w:spacing w:before="0" w:beforeAutospacing="0" w:after="0" w:afterAutospacing="0"/>
        <w:jc w:val="center"/>
      </w:pPr>
      <w:r w:rsidRPr="007652CA">
        <w:rPr>
          <w:rFonts w:eastAsia="Calibri"/>
          <w:color w:val="000000"/>
          <w:kern w:val="24"/>
          <w:position w:val="5"/>
          <w:vertAlign w:val="superscript"/>
        </w:rPr>
        <w:t xml:space="preserve">2 </w:t>
      </w:r>
      <w:r w:rsidRPr="007652CA">
        <w:rPr>
          <w:b/>
          <w:bCs/>
          <w:color w:val="000000"/>
          <w:kern w:val="24"/>
        </w:rPr>
        <w:t>Department of Forensic Sciences, University of Cape Coast, Ghana</w:t>
      </w:r>
    </w:p>
    <w:p w:rsidR="007652CA" w:rsidRPr="007652CA" w:rsidRDefault="007652CA" w:rsidP="007652CA">
      <w:pPr>
        <w:pStyle w:val="NormalWeb"/>
        <w:spacing w:before="0" w:beforeAutospacing="0" w:after="0" w:afterAutospacing="0"/>
        <w:jc w:val="center"/>
      </w:pPr>
      <w:r w:rsidRPr="007652CA">
        <w:rPr>
          <w:b/>
          <w:bCs/>
          <w:color w:val="000000"/>
          <w:kern w:val="24"/>
          <w:position w:val="5"/>
          <w:vertAlign w:val="superscript"/>
        </w:rPr>
        <w:t xml:space="preserve">3 </w:t>
      </w:r>
      <w:r w:rsidRPr="007652CA">
        <w:rPr>
          <w:b/>
          <w:bCs/>
          <w:color w:val="000000"/>
          <w:kern w:val="24"/>
        </w:rPr>
        <w:t>Department of Chemistry, University of Cape Coast, Ghana</w:t>
      </w:r>
    </w:p>
    <w:p w:rsidR="007652CA" w:rsidRPr="007652CA" w:rsidRDefault="007652CA" w:rsidP="007652CA">
      <w:pPr>
        <w:pStyle w:val="NormalWeb"/>
        <w:spacing w:before="0" w:beforeAutospacing="0" w:after="0" w:afterAutospacing="0"/>
        <w:jc w:val="center"/>
        <w:rPr>
          <w:rFonts w:eastAsia="Calibri"/>
          <w:b/>
          <w:bCs/>
          <w:color w:val="000000"/>
          <w:kern w:val="24"/>
        </w:rPr>
      </w:pPr>
    </w:p>
    <w:p w:rsidR="007652CA" w:rsidRDefault="007652CA" w:rsidP="007652CA">
      <w:pPr>
        <w:pStyle w:val="NormalWeb"/>
        <w:spacing w:before="0" w:beforeAutospacing="0" w:after="0" w:afterAutospacing="0"/>
        <w:jc w:val="center"/>
        <w:rPr>
          <w:rFonts w:eastAsia="Calibri"/>
          <w:b/>
          <w:bCs/>
          <w:color w:val="000000"/>
          <w:kern w:val="24"/>
        </w:rPr>
      </w:pPr>
      <w:r>
        <w:rPr>
          <w:rFonts w:eastAsia="Calibri"/>
          <w:b/>
          <w:bCs/>
          <w:color w:val="000000"/>
          <w:kern w:val="24"/>
        </w:rPr>
        <w:t>ABSTRACT</w:t>
      </w:r>
    </w:p>
    <w:p w:rsidR="007652CA" w:rsidRDefault="007652CA" w:rsidP="007652CA">
      <w:pPr>
        <w:pStyle w:val="NormalWeb"/>
        <w:spacing w:before="0" w:beforeAutospacing="0" w:after="0" w:afterAutospacing="0"/>
        <w:jc w:val="both"/>
        <w:rPr>
          <w:rFonts w:eastAsia="Calibri"/>
          <w:b/>
          <w:bCs/>
          <w:color w:val="000000"/>
          <w:kern w:val="24"/>
        </w:rPr>
      </w:pPr>
    </w:p>
    <w:p w:rsidR="007652CA" w:rsidRPr="007652CA" w:rsidRDefault="007652CA" w:rsidP="007652CA">
      <w:pPr>
        <w:pStyle w:val="NormalWeb"/>
        <w:spacing w:before="0" w:beforeAutospacing="0" w:after="0" w:afterAutospacing="0"/>
        <w:jc w:val="both"/>
      </w:pPr>
      <w:r w:rsidRPr="007652CA">
        <w:rPr>
          <w:rFonts w:eastAsia="Calibri"/>
          <w:b/>
          <w:bCs/>
          <w:color w:val="000000"/>
          <w:kern w:val="24"/>
        </w:rPr>
        <w:t xml:space="preserve">BACKGROUND: </w:t>
      </w:r>
      <w:r w:rsidRPr="007652CA">
        <w:rPr>
          <w:rFonts w:eastAsia="Calibri"/>
          <w:color w:val="000000"/>
          <w:kern w:val="24"/>
        </w:rPr>
        <w:t xml:space="preserve">The woody stem of </w:t>
      </w:r>
      <w:proofErr w:type="spellStart"/>
      <w:r w:rsidRPr="007652CA">
        <w:rPr>
          <w:rFonts w:eastAsia="Calibri"/>
          <w:i/>
          <w:iCs/>
          <w:color w:val="000000"/>
          <w:kern w:val="24"/>
        </w:rPr>
        <w:t>Zanthoxylum</w:t>
      </w:r>
      <w:proofErr w:type="spellEnd"/>
      <w:r w:rsidRPr="007652CA">
        <w:rPr>
          <w:rFonts w:eastAsia="Calibri"/>
          <w:i/>
          <w:iCs/>
          <w:color w:val="000000"/>
          <w:kern w:val="24"/>
        </w:rPr>
        <w:t xml:space="preserve"> </w:t>
      </w:r>
      <w:proofErr w:type="spellStart"/>
      <w:r w:rsidRPr="007652CA">
        <w:rPr>
          <w:rFonts w:eastAsia="Calibri"/>
          <w:i/>
          <w:iCs/>
          <w:color w:val="000000"/>
          <w:kern w:val="24"/>
        </w:rPr>
        <w:t>zanthoxyloides</w:t>
      </w:r>
      <w:proofErr w:type="spellEnd"/>
      <w:r w:rsidRPr="007652CA">
        <w:rPr>
          <w:rFonts w:eastAsia="Calibri"/>
          <w:color w:val="000000"/>
          <w:kern w:val="24"/>
        </w:rPr>
        <w:t xml:space="preserve"> is used in </w:t>
      </w:r>
      <w:proofErr w:type="spellStart"/>
      <w:r w:rsidRPr="007652CA">
        <w:rPr>
          <w:rFonts w:eastAsia="Calibri"/>
          <w:color w:val="000000"/>
          <w:kern w:val="24"/>
        </w:rPr>
        <w:t>ethnodentistry</w:t>
      </w:r>
      <w:proofErr w:type="spellEnd"/>
      <w:r w:rsidRPr="007652CA">
        <w:rPr>
          <w:rFonts w:eastAsia="Calibri"/>
          <w:color w:val="000000"/>
          <w:kern w:val="24"/>
        </w:rPr>
        <w:t xml:space="preserve"> as a chewing stick to maintain oral hygiene, particularly among the rural folks in Ghana. Evidence abound linking </w:t>
      </w:r>
      <w:r w:rsidRPr="007652CA">
        <w:rPr>
          <w:rFonts w:eastAsia="Malgun Gothic"/>
          <w:color w:val="000000"/>
          <w:kern w:val="24"/>
        </w:rPr>
        <w:t xml:space="preserve">risk of colorectal cancer, gum bleeding, toothache, preterm birth among pregnant mothers, arterial hardening, myocardial infarction and stroke to oral infections. </w:t>
      </w:r>
      <w:r w:rsidRPr="007652CA">
        <w:rPr>
          <w:rFonts w:eastAsia="Malgun Gothic"/>
          <w:color w:val="000000"/>
          <w:kern w:val="24"/>
        </w:rPr>
        <w:t>Yet available</w:t>
      </w:r>
      <w:r w:rsidRPr="007652CA">
        <w:rPr>
          <w:rFonts w:eastAsia="Malgun Gothic"/>
          <w:color w:val="000000"/>
          <w:kern w:val="24"/>
        </w:rPr>
        <w:t xml:space="preserve"> conventional treatments for oral infections are not only expensive but also ineffective compared to cheap and readily available herb/plant-based </w:t>
      </w:r>
      <w:proofErr w:type="spellStart"/>
      <w:r w:rsidRPr="007652CA">
        <w:rPr>
          <w:rFonts w:eastAsia="Malgun Gothic"/>
          <w:color w:val="000000"/>
          <w:kern w:val="24"/>
        </w:rPr>
        <w:t>ethnodentistry</w:t>
      </w:r>
      <w:proofErr w:type="spellEnd"/>
      <w:r w:rsidRPr="007652CA">
        <w:rPr>
          <w:rFonts w:eastAsia="Malgun Gothic"/>
          <w:color w:val="000000"/>
          <w:kern w:val="24"/>
        </w:rPr>
        <w:t xml:space="preserve"> therapies.</w:t>
      </w:r>
    </w:p>
    <w:p w:rsidR="007652CA" w:rsidRPr="007652CA" w:rsidRDefault="007652CA" w:rsidP="007652CA">
      <w:pPr>
        <w:pStyle w:val="NormalWeb"/>
        <w:spacing w:before="0" w:beforeAutospacing="0" w:after="0" w:afterAutospacing="0"/>
        <w:jc w:val="both"/>
      </w:pPr>
      <w:r w:rsidRPr="007652CA">
        <w:rPr>
          <w:rFonts w:eastAsia="Malgun Gothic"/>
          <w:b/>
          <w:bCs/>
          <w:color w:val="000000"/>
          <w:kern w:val="24"/>
        </w:rPr>
        <w:t>OBJECTIVE</w:t>
      </w:r>
      <w:r w:rsidRPr="007652CA">
        <w:rPr>
          <w:rFonts w:eastAsia="Malgun Gothic"/>
          <w:color w:val="000000"/>
          <w:kern w:val="24"/>
        </w:rPr>
        <w:t xml:space="preserve">: The study </w:t>
      </w:r>
      <w:r w:rsidRPr="007652CA">
        <w:rPr>
          <w:rFonts w:eastAsia="Malgun Gothic"/>
          <w:color w:val="000000"/>
          <w:kern w:val="24"/>
        </w:rPr>
        <w:t>assessed anti</w:t>
      </w:r>
      <w:r w:rsidRPr="007652CA">
        <w:rPr>
          <w:rFonts w:eastAsia="Malgun Gothic"/>
          <w:color w:val="000000"/>
          <w:kern w:val="24"/>
        </w:rPr>
        <w:t xml:space="preserve">-microbial activity of three extract fractions of </w:t>
      </w:r>
      <w:proofErr w:type="spellStart"/>
      <w:r w:rsidRPr="007652CA">
        <w:rPr>
          <w:rFonts w:eastAsia="Malgun Gothic"/>
          <w:i/>
          <w:iCs/>
          <w:color w:val="000000"/>
          <w:kern w:val="24"/>
        </w:rPr>
        <w:t>Zanthoxylum</w:t>
      </w:r>
      <w:proofErr w:type="spellEnd"/>
      <w:r w:rsidRPr="007652CA">
        <w:rPr>
          <w:rFonts w:eastAsia="Malgun Gothic"/>
          <w:i/>
          <w:iCs/>
          <w:color w:val="000000"/>
          <w:kern w:val="24"/>
        </w:rPr>
        <w:t xml:space="preserve"> </w:t>
      </w:r>
      <w:proofErr w:type="spellStart"/>
      <w:r w:rsidRPr="007652CA">
        <w:rPr>
          <w:rFonts w:eastAsia="Malgun Gothic"/>
          <w:i/>
          <w:iCs/>
          <w:color w:val="000000"/>
          <w:kern w:val="24"/>
        </w:rPr>
        <w:t>zanthoxyloides</w:t>
      </w:r>
      <w:proofErr w:type="spellEnd"/>
      <w:r w:rsidRPr="007652CA">
        <w:rPr>
          <w:rFonts w:eastAsia="Malgun Gothic"/>
          <w:i/>
          <w:iCs/>
          <w:color w:val="000000"/>
          <w:kern w:val="24"/>
        </w:rPr>
        <w:t xml:space="preserve"> </w:t>
      </w:r>
      <w:r w:rsidRPr="007652CA">
        <w:rPr>
          <w:rFonts w:eastAsia="Malgun Gothic"/>
          <w:color w:val="000000"/>
          <w:kern w:val="24"/>
        </w:rPr>
        <w:t>leaf</w:t>
      </w:r>
      <w:r w:rsidRPr="007652CA">
        <w:rPr>
          <w:rFonts w:eastAsia="Malgun Gothic"/>
          <w:color w:val="000000"/>
          <w:kern w:val="24"/>
        </w:rPr>
        <w:t xml:space="preserve"> against three selected oral pathogens (</w:t>
      </w:r>
      <w:r w:rsidRPr="007652CA">
        <w:rPr>
          <w:rFonts w:eastAsia="Malgun Gothic"/>
          <w:i/>
          <w:iCs/>
          <w:color w:val="000000"/>
          <w:kern w:val="24"/>
        </w:rPr>
        <w:t>Lactobacillus acidophilus</w:t>
      </w:r>
      <w:r w:rsidRPr="007652CA">
        <w:rPr>
          <w:rFonts w:eastAsia="Malgun Gothic"/>
          <w:color w:val="000000"/>
          <w:kern w:val="24"/>
        </w:rPr>
        <w:t xml:space="preserve">, </w:t>
      </w:r>
      <w:proofErr w:type="spellStart"/>
      <w:r w:rsidRPr="007652CA">
        <w:rPr>
          <w:rFonts w:eastAsia="Malgun Gothic"/>
          <w:i/>
          <w:iCs/>
          <w:color w:val="000000"/>
          <w:kern w:val="24"/>
        </w:rPr>
        <w:t>Aggregatibacter</w:t>
      </w:r>
      <w:proofErr w:type="spellEnd"/>
      <w:r w:rsidRPr="007652CA">
        <w:rPr>
          <w:rFonts w:eastAsia="Malgun Gothic"/>
          <w:i/>
          <w:iCs/>
          <w:color w:val="000000"/>
          <w:kern w:val="24"/>
        </w:rPr>
        <w:t xml:space="preserve"> </w:t>
      </w:r>
      <w:proofErr w:type="spellStart"/>
      <w:r w:rsidRPr="007652CA">
        <w:rPr>
          <w:rFonts w:eastAsia="Malgun Gothic"/>
          <w:i/>
          <w:iCs/>
          <w:color w:val="000000"/>
          <w:kern w:val="24"/>
        </w:rPr>
        <w:t>actinomycetemcomitans</w:t>
      </w:r>
      <w:proofErr w:type="spellEnd"/>
      <w:r w:rsidRPr="007652CA">
        <w:rPr>
          <w:rFonts w:eastAsia="Malgun Gothic"/>
          <w:i/>
          <w:iCs/>
          <w:color w:val="000000"/>
          <w:kern w:val="24"/>
        </w:rPr>
        <w:t xml:space="preserve"> </w:t>
      </w:r>
      <w:r w:rsidRPr="007652CA">
        <w:rPr>
          <w:rFonts w:eastAsia="Malgun Gothic"/>
          <w:color w:val="000000"/>
          <w:kern w:val="24"/>
        </w:rPr>
        <w:t xml:space="preserve">and </w:t>
      </w:r>
      <w:r w:rsidRPr="007652CA">
        <w:rPr>
          <w:rFonts w:eastAsia="Malgun Gothic"/>
          <w:i/>
          <w:iCs/>
          <w:color w:val="000000"/>
          <w:kern w:val="24"/>
        </w:rPr>
        <w:t xml:space="preserve">Candida </w:t>
      </w:r>
      <w:proofErr w:type="spellStart"/>
      <w:r w:rsidRPr="007652CA">
        <w:rPr>
          <w:rFonts w:eastAsia="Malgun Gothic"/>
          <w:i/>
          <w:iCs/>
          <w:color w:val="000000"/>
          <w:kern w:val="24"/>
        </w:rPr>
        <w:t>albicans</w:t>
      </w:r>
      <w:proofErr w:type="spellEnd"/>
      <w:r w:rsidRPr="007652CA">
        <w:rPr>
          <w:rFonts w:eastAsia="Malgun Gothic"/>
          <w:color w:val="000000"/>
          <w:kern w:val="24"/>
        </w:rPr>
        <w:t>)</w:t>
      </w:r>
      <w:r w:rsidRPr="007652CA">
        <w:rPr>
          <w:rFonts w:eastAsia="Malgun Gothic"/>
          <w:i/>
          <w:iCs/>
          <w:color w:val="000000"/>
          <w:kern w:val="24"/>
        </w:rPr>
        <w:t>.</w:t>
      </w:r>
    </w:p>
    <w:p w:rsidR="007652CA" w:rsidRPr="007652CA" w:rsidRDefault="007652CA" w:rsidP="007652CA">
      <w:pPr>
        <w:pStyle w:val="NormalWeb"/>
        <w:spacing w:before="0" w:beforeAutospacing="0" w:after="0" w:afterAutospacing="0"/>
        <w:jc w:val="both"/>
      </w:pPr>
      <w:r w:rsidRPr="007652CA">
        <w:rPr>
          <w:rFonts w:eastAsia="Malgun Gothic"/>
          <w:b/>
          <w:bCs/>
          <w:color w:val="000000"/>
          <w:kern w:val="24"/>
        </w:rPr>
        <w:t xml:space="preserve">MATERIALS AND METHODS: </w:t>
      </w:r>
      <w:r w:rsidRPr="007652CA">
        <w:rPr>
          <w:rFonts w:eastAsia="Malgun Gothic"/>
          <w:color w:val="000000"/>
          <w:kern w:val="24"/>
        </w:rPr>
        <w:t xml:space="preserve">After crude preparation of extract fractions (petroleum ether extract, </w:t>
      </w:r>
      <w:r w:rsidRPr="007652CA">
        <w:rPr>
          <w:rFonts w:eastAsia="Malgun Gothic"/>
          <w:i/>
          <w:iCs/>
          <w:color w:val="000000"/>
          <w:kern w:val="24"/>
        </w:rPr>
        <w:t>PEEZZ</w:t>
      </w:r>
      <w:r w:rsidRPr="007652CA">
        <w:rPr>
          <w:rFonts w:eastAsia="Malgun Gothic"/>
          <w:color w:val="000000"/>
          <w:kern w:val="24"/>
        </w:rPr>
        <w:t xml:space="preserve">; ethanol extract, </w:t>
      </w:r>
      <w:r w:rsidRPr="007652CA">
        <w:rPr>
          <w:rFonts w:eastAsia="Malgun Gothic"/>
          <w:i/>
          <w:iCs/>
          <w:color w:val="000000"/>
          <w:kern w:val="24"/>
        </w:rPr>
        <w:t>EEZZ;</w:t>
      </w:r>
      <w:r w:rsidRPr="007652CA">
        <w:rPr>
          <w:rFonts w:eastAsia="Malgun Gothic"/>
          <w:color w:val="000000"/>
          <w:kern w:val="24"/>
        </w:rPr>
        <w:t xml:space="preserve"> and ethyl acetate extract, </w:t>
      </w:r>
      <w:r w:rsidRPr="007652CA">
        <w:rPr>
          <w:rFonts w:eastAsia="Malgun Gothic"/>
          <w:i/>
          <w:iCs/>
          <w:color w:val="000000"/>
          <w:kern w:val="24"/>
        </w:rPr>
        <w:t>EAEZZ</w:t>
      </w:r>
      <w:r w:rsidRPr="007652CA">
        <w:rPr>
          <w:rFonts w:eastAsia="Malgun Gothic"/>
          <w:color w:val="000000"/>
          <w:kern w:val="24"/>
        </w:rPr>
        <w:t xml:space="preserve">) and confirmation (biochemical test, colony morphology, Gram staining and </w:t>
      </w:r>
      <w:proofErr w:type="spellStart"/>
      <w:r w:rsidRPr="007652CA">
        <w:rPr>
          <w:rFonts w:eastAsia="Malgun Gothic"/>
          <w:color w:val="000000"/>
          <w:kern w:val="24"/>
        </w:rPr>
        <w:t>biotyping</w:t>
      </w:r>
      <w:proofErr w:type="spellEnd"/>
      <w:r w:rsidRPr="007652CA">
        <w:rPr>
          <w:rFonts w:eastAsia="Malgun Gothic"/>
          <w:color w:val="000000"/>
          <w:kern w:val="24"/>
        </w:rPr>
        <w:t xml:space="preserve"> in the case of bacteria isolates and germ tube in the case of </w:t>
      </w:r>
      <w:r w:rsidRPr="007652CA">
        <w:rPr>
          <w:rFonts w:eastAsia="Malgun Gothic"/>
          <w:i/>
          <w:iCs/>
          <w:color w:val="000000"/>
          <w:kern w:val="24"/>
        </w:rPr>
        <w:t xml:space="preserve">Candida </w:t>
      </w:r>
      <w:proofErr w:type="spellStart"/>
      <w:r w:rsidRPr="007652CA">
        <w:rPr>
          <w:rFonts w:eastAsia="Malgun Gothic"/>
          <w:i/>
          <w:iCs/>
          <w:color w:val="000000"/>
          <w:kern w:val="24"/>
        </w:rPr>
        <w:t>albicans</w:t>
      </w:r>
      <w:proofErr w:type="spellEnd"/>
      <w:r w:rsidRPr="007652CA">
        <w:rPr>
          <w:rFonts w:eastAsia="Malgun Gothic"/>
          <w:color w:val="000000"/>
          <w:kern w:val="24"/>
        </w:rPr>
        <w:t>) of isolates (</w:t>
      </w:r>
      <w:r w:rsidRPr="007652CA">
        <w:rPr>
          <w:rFonts w:eastAsia="Malgun Gothic"/>
          <w:i/>
          <w:iCs/>
          <w:color w:val="000000"/>
          <w:kern w:val="24"/>
        </w:rPr>
        <w:t xml:space="preserve">Candida </w:t>
      </w:r>
      <w:proofErr w:type="spellStart"/>
      <w:r w:rsidRPr="007652CA">
        <w:rPr>
          <w:rFonts w:eastAsia="Malgun Gothic"/>
          <w:i/>
          <w:iCs/>
          <w:color w:val="000000"/>
          <w:kern w:val="24"/>
        </w:rPr>
        <w:t>albicans</w:t>
      </w:r>
      <w:proofErr w:type="spellEnd"/>
      <w:r w:rsidRPr="007652CA">
        <w:rPr>
          <w:rFonts w:eastAsia="Malgun Gothic"/>
          <w:color w:val="000000"/>
          <w:kern w:val="24"/>
        </w:rPr>
        <w:t xml:space="preserve">, </w:t>
      </w:r>
      <w:r w:rsidRPr="007652CA">
        <w:rPr>
          <w:rFonts w:eastAsia="Malgun Gothic"/>
          <w:i/>
          <w:iCs/>
          <w:color w:val="000000"/>
          <w:kern w:val="24"/>
        </w:rPr>
        <w:t>Lactobacillus acidophilus</w:t>
      </w:r>
      <w:r w:rsidRPr="007652CA">
        <w:rPr>
          <w:rFonts w:eastAsia="Malgun Gothic"/>
          <w:color w:val="000000"/>
          <w:kern w:val="24"/>
        </w:rPr>
        <w:t xml:space="preserve"> and </w:t>
      </w:r>
      <w:proofErr w:type="spellStart"/>
      <w:r w:rsidRPr="007652CA">
        <w:rPr>
          <w:rFonts w:eastAsia="Malgun Gothic"/>
          <w:i/>
          <w:iCs/>
          <w:color w:val="000000"/>
          <w:kern w:val="24"/>
        </w:rPr>
        <w:t>Aggregatibacter</w:t>
      </w:r>
      <w:proofErr w:type="spellEnd"/>
      <w:r w:rsidRPr="007652CA">
        <w:rPr>
          <w:rFonts w:eastAsia="Malgun Gothic"/>
          <w:i/>
          <w:iCs/>
          <w:color w:val="000000"/>
          <w:kern w:val="24"/>
        </w:rPr>
        <w:t xml:space="preserve"> </w:t>
      </w:r>
      <w:proofErr w:type="spellStart"/>
      <w:r w:rsidRPr="007652CA">
        <w:rPr>
          <w:rFonts w:eastAsia="Malgun Gothic"/>
          <w:i/>
          <w:iCs/>
          <w:color w:val="000000"/>
          <w:kern w:val="24"/>
        </w:rPr>
        <w:t>actinomycetemcomitans</w:t>
      </w:r>
      <w:proofErr w:type="spellEnd"/>
      <w:r w:rsidRPr="007652CA">
        <w:rPr>
          <w:rFonts w:eastAsia="Malgun Gothic"/>
          <w:color w:val="000000"/>
          <w:kern w:val="24"/>
        </w:rPr>
        <w:t xml:space="preserve">). Increasing concentrations of each extract fraction (156.25, 312.5, 625, 1250 and 2500 µg/ml) and respective standard antibiotics were tested against the growth of each selected oral pathogen by using serial broth dilution. </w:t>
      </w:r>
      <w:r w:rsidRPr="007652CA">
        <w:rPr>
          <w:rFonts w:eastAsia="Calibri"/>
          <w:color w:val="000000"/>
          <w:kern w:val="24"/>
        </w:rPr>
        <w:t>Fresh colonies of pure cultures were obtained by subculture on Bl</w:t>
      </w:r>
      <w:r>
        <w:rPr>
          <w:rFonts w:eastAsia="Calibri"/>
          <w:color w:val="000000"/>
          <w:kern w:val="24"/>
        </w:rPr>
        <w:t>ood agar (BA) plate after 18 - 24 hours</w:t>
      </w:r>
      <w:r w:rsidRPr="007652CA">
        <w:rPr>
          <w:rFonts w:eastAsia="Calibri"/>
          <w:color w:val="000000"/>
          <w:kern w:val="24"/>
        </w:rPr>
        <w:t xml:space="preserve"> aerobic incubation at 35 ± 2ºC. </w:t>
      </w:r>
      <w:proofErr w:type="spellStart"/>
      <w:r w:rsidRPr="007652CA">
        <w:rPr>
          <w:rFonts w:eastAsia="Calibri"/>
          <w:color w:val="000000"/>
          <w:kern w:val="24"/>
        </w:rPr>
        <w:t>Inocula</w:t>
      </w:r>
      <w:proofErr w:type="spellEnd"/>
      <w:r w:rsidRPr="007652CA">
        <w:rPr>
          <w:rFonts w:eastAsia="Calibri"/>
          <w:color w:val="000000"/>
          <w:kern w:val="24"/>
        </w:rPr>
        <w:t xml:space="preserve"> equivalent to 0.5 McFarland standard (1 to 2×10</w:t>
      </w:r>
      <w:r w:rsidRPr="007652CA">
        <w:rPr>
          <w:rFonts w:eastAsia="Calibri"/>
          <w:color w:val="000000"/>
          <w:kern w:val="24"/>
          <w:position w:val="5"/>
          <w:vertAlign w:val="superscript"/>
        </w:rPr>
        <w:t>8</w:t>
      </w:r>
      <w:r w:rsidRPr="007652CA">
        <w:rPr>
          <w:rFonts w:eastAsia="Calibri"/>
          <w:color w:val="000000"/>
          <w:kern w:val="24"/>
        </w:rPr>
        <w:t xml:space="preserve"> colony-forming units (CFU)/ml) were prepared for each of the three isolates. A final inoculum of 5 × 10</w:t>
      </w:r>
      <w:r w:rsidRPr="007652CA">
        <w:rPr>
          <w:rFonts w:eastAsia="Calibri"/>
          <w:color w:val="000000"/>
          <w:kern w:val="24"/>
          <w:position w:val="5"/>
          <w:vertAlign w:val="superscript"/>
        </w:rPr>
        <w:t xml:space="preserve">5 </w:t>
      </w:r>
      <w:r w:rsidRPr="007652CA">
        <w:rPr>
          <w:rFonts w:eastAsia="Calibri"/>
          <w:color w:val="000000"/>
          <w:kern w:val="24"/>
        </w:rPr>
        <w:t xml:space="preserve">CFU/ml required for the BMD was achieved first by 1:150 </w:t>
      </w:r>
      <w:proofErr w:type="gramStart"/>
      <w:r w:rsidRPr="007652CA">
        <w:rPr>
          <w:rFonts w:eastAsia="Calibri"/>
          <w:color w:val="000000"/>
          <w:kern w:val="24"/>
        </w:rPr>
        <w:t>dilution</w:t>
      </w:r>
      <w:proofErr w:type="gramEnd"/>
      <w:r w:rsidRPr="007652CA">
        <w:rPr>
          <w:rFonts w:eastAsia="Calibri"/>
          <w:color w:val="000000"/>
          <w:kern w:val="24"/>
        </w:rPr>
        <w:t xml:space="preserve"> in MHB medium for each isolate. Subsequently, a 1:2 dilution with the final drugs dilutions above brought the final required inoculum to 5×10</w:t>
      </w:r>
      <w:r w:rsidRPr="007652CA">
        <w:rPr>
          <w:rFonts w:eastAsia="Calibri"/>
          <w:color w:val="000000"/>
          <w:kern w:val="24"/>
          <w:position w:val="5"/>
          <w:vertAlign w:val="superscript"/>
        </w:rPr>
        <w:t xml:space="preserve">5 </w:t>
      </w:r>
      <w:r w:rsidRPr="007652CA">
        <w:rPr>
          <w:rFonts w:eastAsia="Calibri"/>
          <w:color w:val="000000"/>
          <w:kern w:val="24"/>
        </w:rPr>
        <w:t>CFU/ml. A 1 ml of each drug dilution in broth (the double concentrations) was added to the respective tubes. Aliquots of 0.5 ml of the inoculum suspension of each isolate was then added to the contents of the tubes and thoroughly mixed</w:t>
      </w:r>
      <w:r w:rsidRPr="007652CA">
        <w:rPr>
          <w:rFonts w:eastAsia="Malgun Gothic"/>
          <w:color w:val="000000"/>
          <w:kern w:val="24"/>
        </w:rPr>
        <w:t xml:space="preserve">. After 24 hours culturing, absorbance of each test broth was measured </w:t>
      </w:r>
      <w:proofErr w:type="spellStart"/>
      <w:r w:rsidRPr="007652CA">
        <w:rPr>
          <w:rFonts w:eastAsia="Malgun Gothic"/>
          <w:color w:val="000000"/>
          <w:kern w:val="24"/>
        </w:rPr>
        <w:t>spectrometrically</w:t>
      </w:r>
      <w:proofErr w:type="spellEnd"/>
      <w:r w:rsidRPr="007652CA">
        <w:rPr>
          <w:rFonts w:eastAsia="Malgun Gothic"/>
          <w:color w:val="000000"/>
          <w:kern w:val="24"/>
        </w:rPr>
        <w:t xml:space="preserve"> at 450 nm. Percentage inhibition by each extract fraction, vehicle and standard antibiotics (Fluconazole, FLUCO; amoxicillin and metronidazole, AMOX&amp;MET; </w:t>
      </w:r>
      <w:r w:rsidRPr="007652CA">
        <w:rPr>
          <w:rFonts w:eastAsia="Malgun Gothic"/>
          <w:color w:val="000000"/>
          <w:kern w:val="24"/>
        </w:rPr>
        <w:t>and ciprofloxacin</w:t>
      </w:r>
      <w:r w:rsidRPr="007652CA">
        <w:rPr>
          <w:rFonts w:eastAsia="Malgun Gothic"/>
          <w:color w:val="000000"/>
          <w:kern w:val="24"/>
        </w:rPr>
        <w:t xml:space="preserve">, CIPRO for </w:t>
      </w:r>
      <w:r w:rsidRPr="007652CA">
        <w:rPr>
          <w:rFonts w:eastAsia="Malgun Gothic"/>
          <w:i/>
          <w:iCs/>
          <w:color w:val="000000"/>
          <w:kern w:val="24"/>
        </w:rPr>
        <w:t xml:space="preserve">C. </w:t>
      </w:r>
      <w:proofErr w:type="spellStart"/>
      <w:r w:rsidRPr="007652CA">
        <w:rPr>
          <w:rFonts w:eastAsia="Malgun Gothic"/>
          <w:i/>
          <w:iCs/>
          <w:color w:val="000000"/>
          <w:kern w:val="24"/>
        </w:rPr>
        <w:t>albicans</w:t>
      </w:r>
      <w:proofErr w:type="spellEnd"/>
      <w:r w:rsidRPr="007652CA">
        <w:rPr>
          <w:rFonts w:eastAsia="Malgun Gothic"/>
          <w:color w:val="000000"/>
          <w:kern w:val="24"/>
        </w:rPr>
        <w:t xml:space="preserve">, </w:t>
      </w:r>
      <w:r w:rsidRPr="007652CA">
        <w:rPr>
          <w:rFonts w:eastAsia="Malgun Gothic"/>
          <w:i/>
          <w:iCs/>
          <w:color w:val="000000"/>
          <w:kern w:val="24"/>
        </w:rPr>
        <w:t xml:space="preserve">A. </w:t>
      </w:r>
      <w:proofErr w:type="spellStart"/>
      <w:r w:rsidRPr="007652CA">
        <w:rPr>
          <w:rFonts w:eastAsia="Malgun Gothic"/>
          <w:i/>
          <w:iCs/>
          <w:color w:val="000000"/>
          <w:kern w:val="24"/>
        </w:rPr>
        <w:t>actinomycetemcomitans</w:t>
      </w:r>
      <w:proofErr w:type="spellEnd"/>
      <w:r w:rsidRPr="007652CA">
        <w:rPr>
          <w:rFonts w:eastAsia="Malgun Gothic"/>
          <w:i/>
          <w:iCs/>
          <w:color w:val="000000"/>
          <w:kern w:val="24"/>
        </w:rPr>
        <w:t xml:space="preserve"> </w:t>
      </w:r>
      <w:r w:rsidRPr="007652CA">
        <w:rPr>
          <w:rFonts w:eastAsia="Malgun Gothic"/>
          <w:color w:val="000000"/>
          <w:kern w:val="24"/>
        </w:rPr>
        <w:t xml:space="preserve">and </w:t>
      </w:r>
      <w:r w:rsidRPr="007652CA">
        <w:rPr>
          <w:rFonts w:eastAsia="Malgun Gothic"/>
          <w:i/>
          <w:iCs/>
          <w:color w:val="000000"/>
          <w:kern w:val="24"/>
        </w:rPr>
        <w:t>L. acidophilus</w:t>
      </w:r>
      <w:r w:rsidRPr="007652CA">
        <w:rPr>
          <w:rFonts w:eastAsia="Malgun Gothic"/>
          <w:color w:val="000000"/>
          <w:kern w:val="24"/>
        </w:rPr>
        <w:t xml:space="preserve"> respectively) were determined indirectly from absorbance values by proportions relative to an untreated standard broth. The IC</w:t>
      </w:r>
      <w:r w:rsidRPr="007652CA">
        <w:rPr>
          <w:rFonts w:eastAsia="Malgun Gothic"/>
          <w:color w:val="000000"/>
          <w:kern w:val="24"/>
          <w:position w:val="-4"/>
          <w:vertAlign w:val="subscript"/>
        </w:rPr>
        <w:t>50</w:t>
      </w:r>
      <w:r w:rsidRPr="007652CA">
        <w:rPr>
          <w:rFonts w:eastAsia="Malgun Gothic"/>
          <w:color w:val="000000"/>
          <w:kern w:val="24"/>
        </w:rPr>
        <w:t xml:space="preserve"> of each drug was determined from log concentration - response curve whilst MIC values for each fraction was determined using scatter plot with line of best fit. Each experiment was repeated at least three times.  </w:t>
      </w:r>
      <w:r w:rsidRPr="007652CA">
        <w:rPr>
          <w:rFonts w:eastAsia="Malgun Gothic"/>
          <w:i/>
          <w:iCs/>
          <w:color w:val="000000"/>
          <w:kern w:val="24"/>
        </w:rPr>
        <w:t xml:space="preserve">Candida </w:t>
      </w:r>
      <w:proofErr w:type="spellStart"/>
      <w:r w:rsidRPr="007652CA">
        <w:rPr>
          <w:rFonts w:eastAsia="Malgun Gothic"/>
          <w:i/>
          <w:iCs/>
          <w:color w:val="000000"/>
          <w:kern w:val="24"/>
        </w:rPr>
        <w:t>albicans</w:t>
      </w:r>
      <w:proofErr w:type="spellEnd"/>
      <w:r w:rsidRPr="007652CA">
        <w:rPr>
          <w:rFonts w:eastAsia="Malgun Gothic"/>
          <w:color w:val="000000"/>
          <w:kern w:val="24"/>
        </w:rPr>
        <w:t xml:space="preserve"> was first cultured on </w:t>
      </w:r>
      <w:proofErr w:type="spellStart"/>
      <w:r w:rsidRPr="007652CA">
        <w:rPr>
          <w:rFonts w:eastAsia="Malgun Gothic"/>
          <w:color w:val="000000"/>
          <w:kern w:val="24"/>
        </w:rPr>
        <w:t>Saboraud</w:t>
      </w:r>
      <w:proofErr w:type="spellEnd"/>
      <w:r w:rsidRPr="007652CA">
        <w:rPr>
          <w:rFonts w:eastAsia="Malgun Gothic"/>
          <w:color w:val="000000"/>
          <w:kern w:val="24"/>
        </w:rPr>
        <w:t xml:space="preserve"> Dextrose Agar (SDA) at 28°C for 3 days and then sub-</w:t>
      </w:r>
      <w:r w:rsidRPr="007652CA">
        <w:rPr>
          <w:rFonts w:eastAsia="Malgun Gothic"/>
          <w:color w:val="000000"/>
          <w:kern w:val="24"/>
        </w:rPr>
        <w:t>cultured on</w:t>
      </w:r>
      <w:r w:rsidRPr="007652CA">
        <w:rPr>
          <w:rFonts w:eastAsia="Malgun Gothic"/>
          <w:color w:val="000000"/>
          <w:kern w:val="24"/>
        </w:rPr>
        <w:t xml:space="preserve"> SDA impregnated with chloramphenicol. </w:t>
      </w:r>
      <w:r w:rsidRPr="007652CA">
        <w:rPr>
          <w:rFonts w:eastAsia="Malgun Gothic"/>
          <w:i/>
          <w:iCs/>
          <w:color w:val="000000"/>
          <w:kern w:val="24"/>
        </w:rPr>
        <w:t xml:space="preserve">Lactobacillus acidophilus </w:t>
      </w:r>
      <w:r w:rsidRPr="007652CA">
        <w:rPr>
          <w:rFonts w:eastAsia="Malgun Gothic"/>
          <w:color w:val="000000"/>
          <w:kern w:val="24"/>
        </w:rPr>
        <w:t xml:space="preserve">and </w:t>
      </w:r>
      <w:proofErr w:type="spellStart"/>
      <w:r w:rsidRPr="007652CA">
        <w:rPr>
          <w:rFonts w:eastAsia="Malgun Gothic"/>
          <w:i/>
          <w:iCs/>
          <w:color w:val="000000"/>
          <w:kern w:val="24"/>
        </w:rPr>
        <w:t>Aggregatibacter</w:t>
      </w:r>
      <w:proofErr w:type="spellEnd"/>
      <w:r w:rsidRPr="007652CA">
        <w:rPr>
          <w:rFonts w:eastAsia="Malgun Gothic"/>
          <w:i/>
          <w:iCs/>
          <w:color w:val="000000"/>
          <w:kern w:val="24"/>
        </w:rPr>
        <w:t xml:space="preserve"> </w:t>
      </w:r>
      <w:proofErr w:type="spellStart"/>
      <w:r w:rsidRPr="007652CA">
        <w:rPr>
          <w:rFonts w:eastAsia="Malgun Gothic"/>
          <w:i/>
          <w:iCs/>
          <w:color w:val="000000"/>
          <w:kern w:val="24"/>
        </w:rPr>
        <w:t>actinomycetemcomitans</w:t>
      </w:r>
      <w:proofErr w:type="spellEnd"/>
      <w:r w:rsidRPr="007652CA">
        <w:rPr>
          <w:rFonts w:eastAsia="Malgun Gothic"/>
          <w:i/>
          <w:iCs/>
          <w:color w:val="000000"/>
          <w:kern w:val="24"/>
        </w:rPr>
        <w:t xml:space="preserve"> </w:t>
      </w:r>
      <w:r w:rsidRPr="007652CA">
        <w:rPr>
          <w:rFonts w:eastAsia="Malgun Gothic"/>
          <w:color w:val="000000"/>
          <w:kern w:val="24"/>
        </w:rPr>
        <w:t>were sub</w:t>
      </w:r>
      <w:r w:rsidRPr="007652CA">
        <w:rPr>
          <w:rFonts w:eastAsia="Malgun Gothic"/>
          <w:color w:val="000000"/>
          <w:kern w:val="24"/>
        </w:rPr>
        <w:t xml:space="preserve">-cultured on blood agar at 35° C for 24-48 hours. </w:t>
      </w:r>
    </w:p>
    <w:p w:rsidR="007652CA" w:rsidRPr="007652CA" w:rsidRDefault="007652CA" w:rsidP="007652CA">
      <w:pPr>
        <w:pStyle w:val="NormalWeb"/>
        <w:spacing w:before="0" w:beforeAutospacing="0" w:after="0" w:afterAutospacing="0"/>
        <w:jc w:val="both"/>
      </w:pPr>
      <w:r w:rsidRPr="007652CA">
        <w:rPr>
          <w:rFonts w:eastAsia="Malgun Gothic"/>
          <w:b/>
          <w:bCs/>
          <w:color w:val="000000"/>
          <w:kern w:val="24"/>
        </w:rPr>
        <w:lastRenderedPageBreak/>
        <w:t xml:space="preserve">RESULTS: </w:t>
      </w:r>
      <w:r w:rsidRPr="007652CA">
        <w:rPr>
          <w:rFonts w:eastAsia="Malgun Gothic"/>
          <w:color w:val="000000"/>
          <w:kern w:val="24"/>
        </w:rPr>
        <w:t xml:space="preserve">The extract fractions produced concentration-dependent inhibition of growth. Except in the case of Lactobacillus acidophilus where growth inhibitory effect of the extract fractions was lower compared to standard antibiotic (ciprofloxacin), for the remaining pathogens, the extract fractions produced comparable growth inhibitory effects at lower (in the case of </w:t>
      </w:r>
      <w:r w:rsidRPr="007652CA">
        <w:rPr>
          <w:rFonts w:eastAsia="Malgun Gothic"/>
          <w:i/>
          <w:iCs/>
          <w:color w:val="000000"/>
          <w:kern w:val="24"/>
        </w:rPr>
        <w:t xml:space="preserve">Candida </w:t>
      </w:r>
      <w:proofErr w:type="spellStart"/>
      <w:r w:rsidRPr="007652CA">
        <w:rPr>
          <w:rFonts w:eastAsia="Malgun Gothic"/>
          <w:i/>
          <w:iCs/>
          <w:color w:val="000000"/>
          <w:kern w:val="24"/>
        </w:rPr>
        <w:t>albicans</w:t>
      </w:r>
      <w:proofErr w:type="spellEnd"/>
      <w:r w:rsidRPr="007652CA">
        <w:rPr>
          <w:rFonts w:eastAsia="Malgun Gothic"/>
          <w:color w:val="000000"/>
          <w:kern w:val="24"/>
        </w:rPr>
        <w:t xml:space="preserve">) and higher (in the case of </w:t>
      </w:r>
      <w:proofErr w:type="spellStart"/>
      <w:r w:rsidRPr="007652CA">
        <w:rPr>
          <w:rFonts w:eastAsia="Malgun Gothic"/>
          <w:i/>
          <w:iCs/>
          <w:color w:val="000000"/>
          <w:kern w:val="24"/>
        </w:rPr>
        <w:t>Aggregatibacter</w:t>
      </w:r>
      <w:proofErr w:type="spellEnd"/>
      <w:r w:rsidRPr="007652CA">
        <w:rPr>
          <w:rFonts w:eastAsia="Malgun Gothic"/>
          <w:i/>
          <w:iCs/>
          <w:color w:val="000000"/>
          <w:kern w:val="24"/>
        </w:rPr>
        <w:t xml:space="preserve"> </w:t>
      </w:r>
      <w:proofErr w:type="spellStart"/>
      <w:r w:rsidRPr="007652CA">
        <w:rPr>
          <w:rFonts w:eastAsia="Malgun Gothic"/>
          <w:i/>
          <w:iCs/>
          <w:color w:val="000000"/>
          <w:kern w:val="24"/>
        </w:rPr>
        <w:t>actinomytemcomitans</w:t>
      </w:r>
      <w:proofErr w:type="spellEnd"/>
      <w:r w:rsidRPr="007652CA">
        <w:rPr>
          <w:rFonts w:eastAsia="Malgun Gothic"/>
          <w:color w:val="000000"/>
          <w:kern w:val="24"/>
        </w:rPr>
        <w:t>) concentrations relative to standard antibiotics (</w:t>
      </w:r>
      <w:proofErr w:type="spellStart"/>
      <w:r w:rsidRPr="007652CA">
        <w:rPr>
          <w:rFonts w:eastAsia="Malgun Gothic"/>
          <w:color w:val="000000"/>
          <w:kern w:val="24"/>
        </w:rPr>
        <w:t>Amoxacillin</w:t>
      </w:r>
      <w:proofErr w:type="spellEnd"/>
      <w:r w:rsidRPr="007652CA">
        <w:rPr>
          <w:rFonts w:eastAsia="Malgun Gothic"/>
          <w:color w:val="000000"/>
          <w:kern w:val="24"/>
        </w:rPr>
        <w:t xml:space="preserve"> &amp; Metronidazole and Fluconazole)</w:t>
      </w:r>
      <w:r w:rsidRPr="007652CA">
        <w:rPr>
          <w:rFonts w:eastAsia="Malgun Gothic"/>
          <w:b/>
          <w:bCs/>
          <w:color w:val="000000"/>
          <w:kern w:val="24"/>
        </w:rPr>
        <w:t xml:space="preserve">. </w:t>
      </w:r>
      <w:r w:rsidRPr="007652CA">
        <w:rPr>
          <w:rFonts w:eastAsia="Malgun Gothic"/>
          <w:color w:val="000000"/>
          <w:kern w:val="24"/>
        </w:rPr>
        <w:t xml:space="preserve">The extract fractions had varied MICs relative to vehicle (ethanol) and standard antibiotics with respect to the three oral pathogens. The extract fractions had higher MICs compared to control and standard antibiotic (ciprofloxacin) with respect to </w:t>
      </w:r>
      <w:r w:rsidRPr="007652CA">
        <w:rPr>
          <w:rFonts w:eastAsia="Malgun Gothic"/>
          <w:i/>
          <w:iCs/>
          <w:color w:val="000000"/>
          <w:kern w:val="24"/>
        </w:rPr>
        <w:t>Lactobacillus acidophilus</w:t>
      </w:r>
      <w:r w:rsidRPr="007652CA">
        <w:rPr>
          <w:rFonts w:eastAsia="Malgun Gothic"/>
          <w:color w:val="000000"/>
          <w:kern w:val="24"/>
        </w:rPr>
        <w:t xml:space="preserve">. However, except EEZZ the remaining extract fractions (PEEZZ and EAEZZ) had low MICs compared to control and standard antibiotics in the case of </w:t>
      </w:r>
      <w:proofErr w:type="spellStart"/>
      <w:r w:rsidRPr="007652CA">
        <w:rPr>
          <w:rFonts w:eastAsia="Malgun Gothic"/>
          <w:i/>
          <w:iCs/>
          <w:color w:val="000000"/>
          <w:kern w:val="24"/>
        </w:rPr>
        <w:t>Aggregatibacter</w:t>
      </w:r>
      <w:proofErr w:type="spellEnd"/>
      <w:r w:rsidRPr="007652CA">
        <w:rPr>
          <w:rFonts w:eastAsia="Malgun Gothic"/>
          <w:i/>
          <w:iCs/>
          <w:color w:val="000000"/>
          <w:kern w:val="24"/>
        </w:rPr>
        <w:t xml:space="preserve"> </w:t>
      </w:r>
      <w:proofErr w:type="spellStart"/>
      <w:r w:rsidRPr="007652CA">
        <w:rPr>
          <w:rFonts w:eastAsia="Malgun Gothic"/>
          <w:i/>
          <w:iCs/>
          <w:color w:val="000000"/>
          <w:kern w:val="24"/>
        </w:rPr>
        <w:t>actinomycetemcomitans</w:t>
      </w:r>
      <w:proofErr w:type="spellEnd"/>
      <w:r w:rsidRPr="007652CA">
        <w:rPr>
          <w:rFonts w:eastAsia="Malgun Gothic"/>
          <w:color w:val="000000"/>
          <w:kern w:val="24"/>
        </w:rPr>
        <w:t xml:space="preserve">. In the case of </w:t>
      </w:r>
      <w:r w:rsidRPr="007652CA">
        <w:rPr>
          <w:rFonts w:eastAsia="Malgun Gothic"/>
          <w:i/>
          <w:iCs/>
          <w:color w:val="000000"/>
          <w:kern w:val="24"/>
        </w:rPr>
        <w:t xml:space="preserve">Candida </w:t>
      </w:r>
      <w:proofErr w:type="spellStart"/>
      <w:r w:rsidRPr="007652CA">
        <w:rPr>
          <w:rFonts w:eastAsia="Malgun Gothic"/>
          <w:i/>
          <w:iCs/>
          <w:color w:val="000000"/>
          <w:kern w:val="24"/>
        </w:rPr>
        <w:t>albicans</w:t>
      </w:r>
      <w:proofErr w:type="spellEnd"/>
      <w:r w:rsidRPr="007652CA">
        <w:rPr>
          <w:rFonts w:eastAsia="Malgun Gothic"/>
          <w:color w:val="000000"/>
          <w:kern w:val="24"/>
        </w:rPr>
        <w:t>, EEZZ had a lower MIC compared to fluconazole, while both PEEZZ and EAEZZ had high MICs compared to fluconazole.</w:t>
      </w:r>
      <w:r w:rsidRPr="007652CA">
        <w:rPr>
          <w:rFonts w:eastAsia="Malgun Gothic"/>
          <w:b/>
          <w:bCs/>
          <w:color w:val="000000"/>
          <w:kern w:val="24"/>
        </w:rPr>
        <w:t xml:space="preserve"> </w:t>
      </w:r>
      <w:r w:rsidRPr="007652CA">
        <w:rPr>
          <w:rFonts w:eastAsia="Malgun Gothic"/>
          <w:color w:val="000000"/>
          <w:kern w:val="24"/>
        </w:rPr>
        <w:t>From the IC</w:t>
      </w:r>
      <w:r w:rsidRPr="007652CA">
        <w:rPr>
          <w:rFonts w:eastAsia="Malgun Gothic"/>
          <w:color w:val="000000"/>
          <w:kern w:val="24"/>
          <w:position w:val="-4"/>
          <w:vertAlign w:val="subscript"/>
        </w:rPr>
        <w:t>50</w:t>
      </w:r>
      <w:r w:rsidRPr="007652CA">
        <w:rPr>
          <w:rFonts w:eastAsia="Malgun Gothic"/>
          <w:color w:val="000000"/>
          <w:kern w:val="24"/>
        </w:rPr>
        <w:t xml:space="preserve"> (</w:t>
      </w:r>
      <w:proofErr w:type="spellStart"/>
      <w:r w:rsidRPr="007652CA">
        <w:rPr>
          <w:rFonts w:eastAsia="Malgun Gothic"/>
          <w:color w:val="000000"/>
          <w:kern w:val="24"/>
        </w:rPr>
        <w:t>μg</w:t>
      </w:r>
      <w:proofErr w:type="spellEnd"/>
      <w:r w:rsidRPr="007652CA">
        <w:rPr>
          <w:rFonts w:eastAsia="Malgun Gothic"/>
          <w:color w:val="000000"/>
          <w:kern w:val="24"/>
        </w:rPr>
        <w:t xml:space="preserve">/mL) values the potency of the drugs against </w:t>
      </w:r>
      <w:r w:rsidRPr="007652CA">
        <w:rPr>
          <w:rFonts w:eastAsia="Malgun Gothic"/>
          <w:i/>
          <w:iCs/>
          <w:color w:val="000000"/>
          <w:kern w:val="24"/>
        </w:rPr>
        <w:t>L. acidophilus</w:t>
      </w:r>
      <w:r w:rsidRPr="007652CA">
        <w:rPr>
          <w:rFonts w:eastAsia="Malgun Gothic"/>
          <w:color w:val="000000"/>
          <w:kern w:val="24"/>
        </w:rPr>
        <w:t xml:space="preserve"> in decreasing order were CIPRO – 0.701 ± 0.104; PEEZZ – 1.099 x 10</w:t>
      </w:r>
      <w:r w:rsidRPr="007652CA">
        <w:rPr>
          <w:rFonts w:eastAsia="Malgun Gothic"/>
          <w:color w:val="000000"/>
          <w:kern w:val="24"/>
          <w:position w:val="5"/>
          <w:vertAlign w:val="superscript"/>
        </w:rPr>
        <w:t xml:space="preserve">5 </w:t>
      </w:r>
      <w:r w:rsidRPr="007652CA">
        <w:rPr>
          <w:rFonts w:eastAsia="Malgun Gothic"/>
          <w:color w:val="000000"/>
          <w:kern w:val="24"/>
        </w:rPr>
        <w:t>EAEZZ –172.8 x 10</w:t>
      </w:r>
      <w:r w:rsidRPr="007652CA">
        <w:rPr>
          <w:rFonts w:eastAsia="Malgun Gothic"/>
          <w:color w:val="000000"/>
          <w:kern w:val="24"/>
          <w:position w:val="5"/>
          <w:vertAlign w:val="superscript"/>
        </w:rPr>
        <w:t>5</w:t>
      </w:r>
      <w:r w:rsidRPr="007652CA">
        <w:rPr>
          <w:rFonts w:eastAsia="Malgun Gothic"/>
          <w:color w:val="000000"/>
          <w:kern w:val="24"/>
        </w:rPr>
        <w:t>; EEZZ – 26.96 x 10</w:t>
      </w:r>
      <w:r w:rsidRPr="007652CA">
        <w:rPr>
          <w:rFonts w:eastAsia="Malgun Gothic"/>
          <w:color w:val="000000"/>
          <w:kern w:val="24"/>
          <w:position w:val="5"/>
          <w:vertAlign w:val="superscript"/>
        </w:rPr>
        <w:t>5 ,</w:t>
      </w:r>
      <w:r w:rsidRPr="007652CA">
        <w:rPr>
          <w:rFonts w:eastAsia="Malgun Gothic"/>
          <w:color w:val="000000"/>
          <w:kern w:val="24"/>
        </w:rPr>
        <w:t xml:space="preserve"> ethanol – 9.717 x 10</w:t>
      </w:r>
      <w:r w:rsidRPr="007652CA">
        <w:rPr>
          <w:rFonts w:eastAsia="Malgun Gothic"/>
          <w:color w:val="000000"/>
          <w:kern w:val="24"/>
          <w:position w:val="5"/>
          <w:vertAlign w:val="superscript"/>
        </w:rPr>
        <w:t>11</w:t>
      </w:r>
      <w:r w:rsidRPr="007652CA">
        <w:rPr>
          <w:rFonts w:eastAsia="Malgun Gothic"/>
          <w:color w:val="000000"/>
          <w:kern w:val="24"/>
        </w:rPr>
        <w:t>. The potency pattern based on IC</w:t>
      </w:r>
      <w:r w:rsidRPr="007652CA">
        <w:rPr>
          <w:rFonts w:eastAsia="Malgun Gothic"/>
          <w:color w:val="000000"/>
          <w:kern w:val="24"/>
          <w:position w:val="-4"/>
          <w:vertAlign w:val="subscript"/>
        </w:rPr>
        <w:t>50</w:t>
      </w:r>
      <w:r w:rsidRPr="007652CA">
        <w:rPr>
          <w:rFonts w:eastAsia="Malgun Gothic"/>
          <w:color w:val="000000"/>
          <w:kern w:val="24"/>
        </w:rPr>
        <w:t xml:space="preserve"> (</w:t>
      </w:r>
      <w:proofErr w:type="spellStart"/>
      <w:r w:rsidRPr="007652CA">
        <w:rPr>
          <w:rFonts w:eastAsia="Malgun Gothic"/>
          <w:color w:val="000000"/>
          <w:kern w:val="24"/>
        </w:rPr>
        <w:t>μg</w:t>
      </w:r>
      <w:proofErr w:type="spellEnd"/>
      <w:r w:rsidRPr="007652CA">
        <w:rPr>
          <w:rFonts w:eastAsia="Malgun Gothic"/>
          <w:color w:val="000000"/>
          <w:kern w:val="24"/>
        </w:rPr>
        <w:t xml:space="preserve">/mL) values of the treatments against </w:t>
      </w:r>
      <w:r w:rsidRPr="007652CA">
        <w:rPr>
          <w:rFonts w:eastAsia="Malgun Gothic"/>
          <w:i/>
          <w:iCs/>
          <w:color w:val="000000"/>
          <w:kern w:val="24"/>
        </w:rPr>
        <w:t xml:space="preserve">A. </w:t>
      </w:r>
      <w:proofErr w:type="spellStart"/>
      <w:r w:rsidRPr="007652CA">
        <w:rPr>
          <w:rFonts w:eastAsia="Malgun Gothic"/>
          <w:i/>
          <w:iCs/>
          <w:color w:val="000000"/>
          <w:kern w:val="24"/>
        </w:rPr>
        <w:t>actinomycetemcomitans</w:t>
      </w:r>
      <w:proofErr w:type="spellEnd"/>
      <w:r w:rsidRPr="007652CA">
        <w:rPr>
          <w:rFonts w:eastAsia="Malgun Gothic"/>
          <w:color w:val="000000"/>
          <w:kern w:val="24"/>
        </w:rPr>
        <w:t xml:space="preserve"> in</w:t>
      </w:r>
      <w:r w:rsidRPr="007652CA">
        <w:rPr>
          <w:rFonts w:eastAsia="Malgun Gothic"/>
          <w:color w:val="000000"/>
          <w:kern w:val="24"/>
        </w:rPr>
        <w:t xml:space="preserve"> decreasing order were PEEZZ &gt; Met &amp; </w:t>
      </w:r>
      <w:proofErr w:type="spellStart"/>
      <w:r w:rsidRPr="007652CA">
        <w:rPr>
          <w:rFonts w:eastAsia="Malgun Gothic"/>
          <w:color w:val="000000"/>
          <w:kern w:val="24"/>
        </w:rPr>
        <w:t>Amox</w:t>
      </w:r>
      <w:proofErr w:type="spellEnd"/>
      <w:r w:rsidRPr="007652CA">
        <w:rPr>
          <w:rFonts w:eastAsia="Malgun Gothic"/>
          <w:color w:val="000000"/>
          <w:kern w:val="24"/>
        </w:rPr>
        <w:t xml:space="preserve"> &gt; EEZZ &gt; EAEZZ &gt; ethanol. Potency based on IC</w:t>
      </w:r>
      <w:r w:rsidRPr="007652CA">
        <w:rPr>
          <w:rFonts w:eastAsia="Malgun Gothic"/>
          <w:color w:val="000000"/>
          <w:kern w:val="24"/>
          <w:position w:val="-4"/>
          <w:vertAlign w:val="subscript"/>
        </w:rPr>
        <w:t>50</w:t>
      </w:r>
      <w:r w:rsidRPr="007652CA">
        <w:rPr>
          <w:rFonts w:eastAsia="Malgun Gothic"/>
          <w:color w:val="000000"/>
          <w:kern w:val="24"/>
        </w:rPr>
        <w:t xml:space="preserve"> (</w:t>
      </w:r>
      <w:proofErr w:type="spellStart"/>
      <w:r w:rsidRPr="007652CA">
        <w:rPr>
          <w:rFonts w:eastAsia="Malgun Gothic"/>
          <w:color w:val="000000"/>
          <w:kern w:val="24"/>
        </w:rPr>
        <w:t>μg</w:t>
      </w:r>
      <w:proofErr w:type="spellEnd"/>
      <w:r w:rsidRPr="007652CA">
        <w:rPr>
          <w:rFonts w:eastAsia="Malgun Gothic"/>
          <w:color w:val="000000"/>
          <w:kern w:val="24"/>
        </w:rPr>
        <w:t xml:space="preserve">/mL) values of treatments against </w:t>
      </w:r>
      <w:r w:rsidRPr="007652CA">
        <w:rPr>
          <w:rFonts w:eastAsia="Malgun Gothic"/>
          <w:i/>
          <w:iCs/>
          <w:color w:val="000000"/>
          <w:kern w:val="24"/>
        </w:rPr>
        <w:t xml:space="preserve">C. </w:t>
      </w:r>
      <w:proofErr w:type="spellStart"/>
      <w:r w:rsidRPr="007652CA">
        <w:rPr>
          <w:rFonts w:eastAsia="Malgun Gothic"/>
          <w:i/>
          <w:iCs/>
          <w:color w:val="000000"/>
          <w:kern w:val="24"/>
        </w:rPr>
        <w:t>albicans</w:t>
      </w:r>
      <w:proofErr w:type="spellEnd"/>
      <w:r w:rsidRPr="007652CA">
        <w:rPr>
          <w:rFonts w:eastAsia="Malgun Gothic"/>
          <w:i/>
          <w:iCs/>
          <w:color w:val="000000"/>
          <w:kern w:val="24"/>
        </w:rPr>
        <w:t xml:space="preserve"> </w:t>
      </w:r>
      <w:r w:rsidRPr="007652CA">
        <w:rPr>
          <w:rFonts w:eastAsia="Malgun Gothic"/>
          <w:color w:val="000000"/>
          <w:kern w:val="24"/>
        </w:rPr>
        <w:t>were</w:t>
      </w:r>
      <w:r w:rsidRPr="007652CA">
        <w:rPr>
          <w:rFonts w:eastAsia="Malgun Gothic"/>
          <w:color w:val="000000"/>
          <w:kern w:val="24"/>
        </w:rPr>
        <w:t xml:space="preserve"> not different from that of the other two oral pathogens.</w:t>
      </w:r>
    </w:p>
    <w:p w:rsidR="007652CA" w:rsidRPr="007652CA" w:rsidRDefault="007652CA" w:rsidP="007652CA">
      <w:pPr>
        <w:pStyle w:val="NormalWeb"/>
        <w:spacing w:before="0" w:beforeAutospacing="0" w:after="0" w:afterAutospacing="0"/>
        <w:jc w:val="both"/>
      </w:pPr>
      <w:r w:rsidRPr="007652CA">
        <w:rPr>
          <w:rFonts w:eastAsia="Malgun Gothic"/>
          <w:b/>
          <w:bCs/>
          <w:color w:val="000000"/>
          <w:kern w:val="24"/>
        </w:rPr>
        <w:t xml:space="preserve">CONCLUSION: </w:t>
      </w:r>
      <w:r w:rsidRPr="007652CA">
        <w:rPr>
          <w:rFonts w:eastAsia="Malgun Gothic"/>
          <w:color w:val="000000"/>
          <w:kern w:val="24"/>
        </w:rPr>
        <w:t xml:space="preserve"> </w:t>
      </w:r>
      <w:r w:rsidRPr="007652CA">
        <w:rPr>
          <w:rFonts w:eastAsia="Malgun Gothic"/>
          <w:i/>
          <w:iCs/>
          <w:color w:val="000000"/>
          <w:kern w:val="24"/>
        </w:rPr>
        <w:t xml:space="preserve">Z. </w:t>
      </w:r>
      <w:proofErr w:type="spellStart"/>
      <w:r w:rsidRPr="007652CA">
        <w:rPr>
          <w:rFonts w:eastAsia="Malgun Gothic"/>
          <w:i/>
          <w:iCs/>
          <w:color w:val="000000"/>
          <w:kern w:val="24"/>
        </w:rPr>
        <w:t>zanthoxyloides</w:t>
      </w:r>
      <w:proofErr w:type="spellEnd"/>
      <w:r w:rsidRPr="007652CA">
        <w:rPr>
          <w:rFonts w:eastAsia="Malgun Gothic"/>
          <w:i/>
          <w:iCs/>
          <w:color w:val="000000"/>
          <w:kern w:val="24"/>
        </w:rPr>
        <w:t xml:space="preserve"> </w:t>
      </w:r>
      <w:r w:rsidRPr="007652CA">
        <w:rPr>
          <w:rFonts w:eastAsia="Malgun Gothic"/>
          <w:color w:val="000000"/>
          <w:kern w:val="24"/>
        </w:rPr>
        <w:t xml:space="preserve">leaf extracts have anti-microbial activity against the three </w:t>
      </w:r>
      <w:r w:rsidRPr="007652CA">
        <w:rPr>
          <w:rFonts w:eastAsia="Malgun Gothic"/>
          <w:color w:val="000000"/>
          <w:kern w:val="24"/>
        </w:rPr>
        <w:t>studied oral</w:t>
      </w:r>
      <w:r w:rsidRPr="007652CA">
        <w:rPr>
          <w:rFonts w:eastAsia="Malgun Gothic"/>
          <w:color w:val="000000"/>
          <w:kern w:val="24"/>
        </w:rPr>
        <w:t xml:space="preserve"> pathogens, thus, it can be explored for </w:t>
      </w:r>
      <w:r w:rsidRPr="007652CA">
        <w:rPr>
          <w:rFonts w:eastAsia="Malgun Gothic"/>
          <w:color w:val="000000"/>
          <w:kern w:val="24"/>
        </w:rPr>
        <w:t>active anti</w:t>
      </w:r>
      <w:r w:rsidRPr="007652CA">
        <w:rPr>
          <w:rFonts w:eastAsia="Malgun Gothic"/>
          <w:color w:val="000000"/>
          <w:kern w:val="24"/>
        </w:rPr>
        <w:t xml:space="preserve">-microbial agents </w:t>
      </w:r>
      <w:r w:rsidRPr="007652CA">
        <w:rPr>
          <w:rFonts w:eastAsia="Malgun Gothic"/>
          <w:color w:val="000000"/>
          <w:kern w:val="24"/>
        </w:rPr>
        <w:t>against oral</w:t>
      </w:r>
      <w:r w:rsidRPr="007652CA">
        <w:rPr>
          <w:rFonts w:eastAsia="Malgun Gothic"/>
          <w:color w:val="000000"/>
          <w:kern w:val="24"/>
        </w:rPr>
        <w:t xml:space="preserve"> infections in which </w:t>
      </w:r>
      <w:r w:rsidRPr="007652CA">
        <w:rPr>
          <w:rFonts w:eastAsia="Malgun Gothic"/>
          <w:color w:val="000000"/>
          <w:kern w:val="24"/>
        </w:rPr>
        <w:t xml:space="preserve">the </w:t>
      </w:r>
      <w:bookmarkStart w:id="0" w:name="_GoBack"/>
      <w:bookmarkEnd w:id="0"/>
      <w:r w:rsidRPr="007652CA">
        <w:rPr>
          <w:rFonts w:eastAsia="Malgun Gothic"/>
          <w:color w:val="000000"/>
          <w:kern w:val="24"/>
        </w:rPr>
        <w:t>studied pathogens</w:t>
      </w:r>
      <w:r w:rsidRPr="007652CA">
        <w:rPr>
          <w:rFonts w:eastAsia="Malgun Gothic"/>
          <w:color w:val="000000"/>
          <w:kern w:val="24"/>
        </w:rPr>
        <w:t xml:space="preserve"> may be implicated.</w:t>
      </w:r>
    </w:p>
    <w:p w:rsidR="007652CA" w:rsidRPr="007652CA" w:rsidRDefault="007652CA" w:rsidP="007652CA">
      <w:pPr>
        <w:pStyle w:val="NormalWeb"/>
        <w:spacing w:before="0" w:beforeAutospacing="0" w:after="0" w:afterAutospacing="0"/>
        <w:jc w:val="both"/>
      </w:pPr>
      <w:r w:rsidRPr="007652CA">
        <w:rPr>
          <w:rFonts w:eastAsia="Malgun Gothic"/>
          <w:b/>
          <w:bCs/>
          <w:color w:val="000000"/>
          <w:kern w:val="24"/>
        </w:rPr>
        <w:t xml:space="preserve">ACKNOWLEDGEMENT: </w:t>
      </w:r>
      <w:r w:rsidRPr="007652CA">
        <w:rPr>
          <w:rFonts w:eastAsia="Malgun Gothic"/>
          <w:color w:val="000000"/>
          <w:kern w:val="24"/>
        </w:rPr>
        <w:t xml:space="preserve">Our thanks go to University of Cape Coast Dental clinic for providing us with clinical isolates. Also, we thank the medical Laboratory </w:t>
      </w:r>
      <w:r w:rsidRPr="007652CA">
        <w:rPr>
          <w:rFonts w:eastAsia="Malgun Gothic"/>
          <w:color w:val="000000"/>
          <w:kern w:val="24"/>
        </w:rPr>
        <w:t>scientists at</w:t>
      </w:r>
      <w:r w:rsidRPr="007652CA">
        <w:rPr>
          <w:rFonts w:eastAsia="Malgun Gothic"/>
          <w:color w:val="000000"/>
          <w:kern w:val="24"/>
        </w:rPr>
        <w:t xml:space="preserve"> the microbiology section of the Laboratory Department of Cape Coast Teaching Hospital (CCTH), Cape Coast, Ghana, </w:t>
      </w:r>
      <w:r w:rsidRPr="007652CA">
        <w:rPr>
          <w:rFonts w:eastAsia="Malgun Gothic"/>
          <w:color w:val="000000"/>
          <w:kern w:val="24"/>
        </w:rPr>
        <w:t>for making</w:t>
      </w:r>
      <w:r w:rsidRPr="007652CA">
        <w:rPr>
          <w:rFonts w:eastAsia="Malgun Gothic"/>
          <w:color w:val="000000"/>
          <w:kern w:val="24"/>
        </w:rPr>
        <w:t xml:space="preserve"> available to us their expertise.</w:t>
      </w:r>
    </w:p>
    <w:p w:rsidR="009800CC" w:rsidRPr="007652CA" w:rsidRDefault="009800CC">
      <w:pPr>
        <w:rPr>
          <w:rFonts w:ascii="Times New Roman" w:hAnsi="Times New Roman" w:cs="Times New Roman"/>
          <w:sz w:val="24"/>
          <w:szCs w:val="24"/>
        </w:rPr>
      </w:pPr>
    </w:p>
    <w:sectPr w:rsidR="009800CC" w:rsidRPr="007652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lgun Gothic">
    <w:panose1 w:val="020B0503020000020004"/>
    <w:charset w:val="81"/>
    <w:family w:val="swiss"/>
    <w:pitch w:val="variable"/>
    <w:sig w:usb0="900002AF" w:usb1="29D77CFB" w:usb2="00000012" w:usb3="00000000" w:csb0="0008008D"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73D"/>
    <w:rsid w:val="003C673D"/>
    <w:rsid w:val="007652CA"/>
    <w:rsid w:val="00980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52C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52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3056525">
      <w:bodyDiv w:val="1"/>
      <w:marLeft w:val="0"/>
      <w:marRight w:val="0"/>
      <w:marTop w:val="0"/>
      <w:marBottom w:val="0"/>
      <w:divBdr>
        <w:top w:val="none" w:sz="0" w:space="0" w:color="auto"/>
        <w:left w:val="none" w:sz="0" w:space="0" w:color="auto"/>
        <w:bottom w:val="none" w:sz="0" w:space="0" w:color="auto"/>
        <w:right w:val="none" w:sz="0" w:space="0" w:color="auto"/>
      </w:divBdr>
    </w:div>
    <w:div w:id="208229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862</Words>
  <Characters>4917</Characters>
  <Application>Microsoft Office Word</Application>
  <DocSecurity>0</DocSecurity>
  <Lines>40</Lines>
  <Paragraphs>11</Paragraphs>
  <ScaleCrop>false</ScaleCrop>
  <Company/>
  <LinksUpToDate>false</LinksUpToDate>
  <CharactersWithSpaces>5768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Boye</dc:creator>
  <cp:keywords/>
  <dc:description/>
  <cp:lastModifiedBy>Boye</cp:lastModifiedBy>
  <cp:revision>2</cp:revision>
  <dcterms:created xsi:type="dcterms:W3CDTF">2018-01-22T12:55:00Z</dcterms:created>
  <dcterms:modified xsi:type="dcterms:W3CDTF">2018-01-22T12:59:00Z</dcterms:modified>
</cp:coreProperties>
</file>