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91665" w14:textId="7D59B9FE" w:rsidR="00AE3E37" w:rsidRDefault="002D53B4" w:rsidP="00494130">
      <w:pPr>
        <w:pStyle w:val="Heading1"/>
        <w:spacing w:before="170"/>
        <w:ind w:left="0"/>
      </w:pPr>
      <w:r>
        <w:rPr>
          <w:color w:val="337AB7"/>
        </w:rPr>
        <w:t xml:space="preserve">Formulation </w:t>
      </w:r>
      <w:r w:rsidRPr="002D53B4">
        <w:rPr>
          <w:color w:val="337AB7"/>
        </w:rPr>
        <w:t>and in vivo bioavailability studies of lipid nanoparticles</w:t>
      </w:r>
      <w:r>
        <w:rPr>
          <w:color w:val="337AB7"/>
        </w:rPr>
        <w:t xml:space="preserve"> </w:t>
      </w:r>
      <w:r w:rsidR="0013183D">
        <w:rPr>
          <w:color w:val="337AB7"/>
        </w:rPr>
        <w:t xml:space="preserve">of </w:t>
      </w:r>
      <w:r>
        <w:rPr>
          <w:color w:val="337AB7"/>
        </w:rPr>
        <w:t xml:space="preserve">anticancer agent </w:t>
      </w:r>
    </w:p>
    <w:p w14:paraId="550CED1E" w14:textId="21BE65E7" w:rsidR="0078738A" w:rsidRDefault="0078738A" w:rsidP="005973B9">
      <w:pPr>
        <w:pStyle w:val="BodyText"/>
        <w:spacing w:before="73" w:line="198" w:lineRule="exact"/>
        <w:ind w:left="100" w:right="5987"/>
        <w:rPr>
          <w:rFonts w:ascii="Arial"/>
        </w:rPr>
      </w:pPr>
      <w:r>
        <w:rPr>
          <w:rFonts w:ascii="Arial"/>
        </w:rPr>
        <w:t xml:space="preserve">Dr </w:t>
      </w:r>
      <w:r w:rsidR="0013183D">
        <w:rPr>
          <w:rFonts w:ascii="Arial"/>
        </w:rPr>
        <w:t xml:space="preserve">Bhupendra G. Prajapati, </w:t>
      </w:r>
      <w:r w:rsidR="005973B9">
        <w:rPr>
          <w:rFonts w:ascii="Arial"/>
        </w:rPr>
        <w:t xml:space="preserve">PhD, </w:t>
      </w:r>
      <w:bookmarkStart w:id="0" w:name="_Hlk103803981"/>
      <w:r w:rsidR="0013183D">
        <w:rPr>
          <w:rFonts w:ascii="Arial"/>
        </w:rPr>
        <w:t>Ganpat University, India</w:t>
      </w:r>
      <w:bookmarkEnd w:id="0"/>
    </w:p>
    <w:p w14:paraId="6BF17C3A" w14:textId="4070C245" w:rsidR="005973B9" w:rsidRDefault="0013183D" w:rsidP="0013183D">
      <w:pPr>
        <w:pStyle w:val="BodyText"/>
        <w:spacing w:before="73" w:line="198" w:lineRule="exact"/>
        <w:ind w:right="5987"/>
        <w:rPr>
          <w:rFonts w:ascii="Arial"/>
        </w:rPr>
      </w:pPr>
      <w:r>
        <w:rPr>
          <w:rFonts w:ascii="Arial"/>
        </w:rPr>
        <w:t xml:space="preserve">  </w:t>
      </w:r>
      <w:proofErr w:type="spellStart"/>
      <w:r w:rsidR="00F72E88">
        <w:rPr>
          <w:rFonts w:ascii="Arial"/>
        </w:rPr>
        <w:t>Ms</w:t>
      </w:r>
      <w:proofErr w:type="spellEnd"/>
      <w:r w:rsidR="00F72E88">
        <w:rPr>
          <w:rFonts w:ascii="Arial"/>
        </w:rPr>
        <w:t xml:space="preserve"> Payal Patel, </w:t>
      </w:r>
      <w:proofErr w:type="spellStart"/>
      <w:proofErr w:type="gramStart"/>
      <w:r w:rsidR="00F72E88">
        <w:rPr>
          <w:rFonts w:ascii="Arial"/>
        </w:rPr>
        <w:t>M.Pharm</w:t>
      </w:r>
      <w:proofErr w:type="spellEnd"/>
      <w:proofErr w:type="gramEnd"/>
      <w:r w:rsidR="00F72E88">
        <w:rPr>
          <w:rFonts w:ascii="Arial"/>
        </w:rPr>
        <w:t xml:space="preserve">, </w:t>
      </w:r>
      <w:r w:rsidR="00F72E88" w:rsidRPr="00F72E88">
        <w:rPr>
          <w:rFonts w:ascii="Arial"/>
        </w:rPr>
        <w:t>Ganpat University, India</w:t>
      </w:r>
    </w:p>
    <w:p w14:paraId="2A379F3A" w14:textId="77777777" w:rsidR="00AE3E37" w:rsidRDefault="00AE3E37">
      <w:pPr>
        <w:pStyle w:val="BodyText"/>
        <w:rPr>
          <w:rFonts w:ascii="Arial"/>
          <w:sz w:val="20"/>
        </w:rPr>
      </w:pPr>
    </w:p>
    <w:p w14:paraId="32E44C1D" w14:textId="77777777" w:rsidR="00AE3E37" w:rsidRDefault="00AE3E37">
      <w:pPr>
        <w:pStyle w:val="BodyText"/>
        <w:spacing w:before="3"/>
        <w:rPr>
          <w:rFonts w:ascii="Arial"/>
          <w:sz w:val="21"/>
        </w:rPr>
      </w:pPr>
    </w:p>
    <w:p w14:paraId="7B48B86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D7D071" w14:textId="77777777" w:rsidR="00AE3E37" w:rsidRDefault="00A9710C">
      <w:pPr>
        <w:pStyle w:val="Heading3"/>
        <w:spacing w:before="147"/>
        <w:jc w:val="both"/>
      </w:pPr>
      <w:r>
        <w:rPr>
          <w:color w:val="BF5A14"/>
        </w:rPr>
        <w:t>Abstract</w:t>
      </w:r>
      <w:r w:rsidR="00404E5B">
        <w:rPr>
          <w:color w:val="BF5A14"/>
        </w:rPr>
        <w:t xml:space="preserve"> (300 word limit)</w:t>
      </w:r>
    </w:p>
    <w:p w14:paraId="0564445D" w14:textId="07852D5D" w:rsidR="00AE3E37" w:rsidRDefault="00F72E88">
      <w:pPr>
        <w:pStyle w:val="BodyText"/>
        <w:spacing w:before="90" w:line="280" w:lineRule="auto"/>
        <w:ind w:left="100"/>
        <w:jc w:val="both"/>
      </w:pPr>
      <w:r w:rsidRPr="00F72E88">
        <w:t xml:space="preserve">Exemestane HCl (EXM) has very low solubility as well as low bioavailability which limits the therapeutic outcome. Following oral administration, EXM is rapidly and extensively absorbed; although animal data suggests that the absolute bioavailability was low (about 5%) due to an extensive first-pass effect. Formulation of solid lipid nanoparticles (SLNs) </w:t>
      </w:r>
      <w:proofErr w:type="gramStart"/>
      <w:r w:rsidRPr="00F72E88">
        <w:t>of  EXM</w:t>
      </w:r>
      <w:proofErr w:type="gramEnd"/>
      <w:r w:rsidRPr="00F72E88">
        <w:t xml:space="preserve"> is a </w:t>
      </w:r>
      <w:r w:rsidRPr="00F72E88">
        <w:t>promising</w:t>
      </w:r>
      <w:r w:rsidRPr="00F72E88">
        <w:t xml:space="preserve"> approach to increase the bioavailability. EXM SLNs were prepared by Solvent Injection method. As the optimized parameters, homogenization speed is kept at 10000 rpm, homogenization time set for 30 minutes and sonication time set for 20 minutes. Where as in case of excipients optimization, GMS and Drug were optimized as 300 mg and 120 mg respectively, aqueous phase 50 ml, organic phase (as </w:t>
      </w:r>
      <w:proofErr w:type="spellStart"/>
      <w:proofErr w:type="gramStart"/>
      <w:r w:rsidRPr="00F72E88">
        <w:t>Acetone:Methamol</w:t>
      </w:r>
      <w:proofErr w:type="spellEnd"/>
      <w:proofErr w:type="gramEnd"/>
      <w:r w:rsidRPr="00F72E88">
        <w:t>) (1:1 ) 7 ml and Surfactant amount 1000 mg. For the optimized batch particle size found to be 576 nm. The % entrapment efficiency for optimized batch was found 85.038 ± 2.6. In all cases, % entrapment efficiency was found to be 53.638±3.1 to 85.038 ±2.6. Dissolution study shows effect of different amount of lipid as well as different amount of surfactant in drug release profile. For in vivo bioavailability study the relative bioavailability of Exemestane HCL solid lipid nanoparticles compared with the plain Exemestane HCL drug was 165.75 %, suggesting that a SLNs formulation could improve the oral absorption of Exemestane HCL.</w:t>
      </w:r>
    </w:p>
    <w:p w14:paraId="729F57EF" w14:textId="73695AFC" w:rsidR="00AE3E37" w:rsidRDefault="00A9710C">
      <w:pPr>
        <w:pStyle w:val="Heading3"/>
        <w:spacing w:before="74"/>
      </w:pPr>
      <w:r>
        <w:rPr>
          <w:color w:val="BF5A14"/>
        </w:rPr>
        <w:t>Image</w:t>
      </w:r>
    </w:p>
    <w:p w14:paraId="65FD55D9" w14:textId="190417D9" w:rsidR="00AE3E37" w:rsidRDefault="0079197E">
      <w:pPr>
        <w:pStyle w:val="BodyText"/>
        <w:spacing w:before="2"/>
        <w:rPr>
          <w:noProof/>
          <w:lang w:val="en-IN" w:eastAsia="en-IN"/>
        </w:rPr>
      </w:pPr>
      <w:r>
        <w:rPr>
          <w:noProof/>
        </w:rPr>
        <w:drawing>
          <wp:inline distT="0" distB="0" distL="0" distR="0" wp14:anchorId="78307147" wp14:editId="1366EE74">
            <wp:extent cx="3139440" cy="1915065"/>
            <wp:effectExtent l="0" t="0" r="381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502" t="7003" r="28863" b="19450"/>
                    <a:stretch/>
                  </pic:blipFill>
                  <pic:spPr bwMode="auto">
                    <a:xfrm>
                      <a:off x="0" y="0"/>
                      <a:ext cx="3153529" cy="1923659"/>
                    </a:xfrm>
                    <a:prstGeom prst="rect">
                      <a:avLst/>
                    </a:prstGeom>
                    <a:noFill/>
                    <a:ln>
                      <a:noFill/>
                    </a:ln>
                    <a:extLst>
                      <a:ext uri="{53640926-AAD7-44D8-BBD7-CCE9431645EC}">
                        <a14:shadowObscured xmlns:a14="http://schemas.microsoft.com/office/drawing/2010/main"/>
                      </a:ext>
                    </a:extLst>
                  </pic:spPr>
                </pic:pic>
              </a:graphicData>
            </a:graphic>
          </wp:inline>
        </w:drawing>
      </w:r>
      <w:r w:rsidR="00F72E88" w:rsidRPr="00F72E88">
        <w:rPr>
          <w:noProof/>
          <w:lang w:val="en-IN" w:eastAsia="en-IN"/>
        </w:rPr>
        <w:t xml:space="preserve"> </w:t>
      </w:r>
    </w:p>
    <w:p w14:paraId="4D13B207" w14:textId="2F57DCA8" w:rsidR="00870D98" w:rsidRDefault="00645A8A">
      <w:pPr>
        <w:pStyle w:val="BodyText"/>
        <w:spacing w:before="2"/>
        <w:rPr>
          <w:rFonts w:ascii="Arial"/>
          <w:b/>
          <w:sz w:val="16"/>
        </w:rPr>
      </w:pPr>
      <w:r>
        <w:rPr>
          <w:noProof/>
        </w:rPr>
        <w:drawing>
          <wp:inline distT="0" distB="0" distL="0" distR="0" wp14:anchorId="4FBD13F4" wp14:editId="599DAB8D">
            <wp:extent cx="3363187" cy="2035834"/>
            <wp:effectExtent l="0" t="0" r="889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448" t="8235" r="17155" b="22026"/>
                    <a:stretch/>
                  </pic:blipFill>
                  <pic:spPr bwMode="auto">
                    <a:xfrm>
                      <a:off x="0" y="0"/>
                      <a:ext cx="3403928" cy="2060496"/>
                    </a:xfrm>
                    <a:prstGeom prst="rect">
                      <a:avLst/>
                    </a:prstGeom>
                    <a:noFill/>
                    <a:ln>
                      <a:noFill/>
                    </a:ln>
                    <a:extLst>
                      <a:ext uri="{53640926-AAD7-44D8-BBD7-CCE9431645EC}">
                        <a14:shadowObscured xmlns:a14="http://schemas.microsoft.com/office/drawing/2010/main"/>
                      </a:ext>
                    </a:extLst>
                  </pic:spPr>
                </pic:pic>
              </a:graphicData>
            </a:graphic>
          </wp:inline>
        </w:drawing>
      </w:r>
    </w:p>
    <w:p w14:paraId="42D34092" w14:textId="18D61156" w:rsidR="005973B9" w:rsidRDefault="005973B9" w:rsidP="005973B9">
      <w:pPr>
        <w:spacing w:line="204" w:lineRule="exact"/>
        <w:rPr>
          <w:rFonts w:ascii="Arial"/>
          <w:b/>
          <w:sz w:val="20"/>
        </w:rPr>
      </w:pPr>
      <w:r>
        <w:rPr>
          <w:rFonts w:ascii="Arial"/>
          <w:b/>
          <w:color w:val="BF5A14"/>
          <w:sz w:val="20"/>
        </w:rPr>
        <w:t>Recent Publications (minimum 5)</w:t>
      </w:r>
    </w:p>
    <w:p w14:paraId="2137C7E4" w14:textId="0A39CB9E"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1.</w:t>
      </w:r>
      <w:r w:rsidRPr="00286E85">
        <w:rPr>
          <w:rFonts w:ascii="Calibri" w:hAnsi="Calibri"/>
        </w:rPr>
        <w:tab/>
        <w:t xml:space="preserve">Bhattacharya, S., </w:t>
      </w:r>
      <w:proofErr w:type="spellStart"/>
      <w:r w:rsidRPr="00286E85">
        <w:rPr>
          <w:rFonts w:ascii="Calibri" w:hAnsi="Calibri"/>
        </w:rPr>
        <w:t>Saindane</w:t>
      </w:r>
      <w:proofErr w:type="spellEnd"/>
      <w:r w:rsidRPr="00286E85">
        <w:rPr>
          <w:rFonts w:ascii="Calibri" w:hAnsi="Calibri"/>
        </w:rPr>
        <w:t xml:space="preserve">, D., &amp; Prajapati, B. G. (2022). Liposomal Drug Delivery and Its Potential Impact </w:t>
      </w:r>
      <w:proofErr w:type="gramStart"/>
      <w:r w:rsidRPr="00286E85">
        <w:rPr>
          <w:rFonts w:ascii="Calibri" w:hAnsi="Calibri"/>
        </w:rPr>
        <w:t>On</w:t>
      </w:r>
      <w:proofErr w:type="gramEnd"/>
      <w:r w:rsidRPr="00286E85">
        <w:rPr>
          <w:rFonts w:ascii="Calibri" w:hAnsi="Calibri"/>
        </w:rPr>
        <w:t xml:space="preserve"> Cancer Research. Anti-cancer agents in medicinal chemistry, 10.2174/1871520622666220418141640. Advance online publication.</w:t>
      </w:r>
      <w:r w:rsidR="00FA5090">
        <w:rPr>
          <w:rFonts w:ascii="Calibri" w:hAnsi="Calibri"/>
        </w:rPr>
        <w:t xml:space="preserve"> </w:t>
      </w:r>
    </w:p>
    <w:p w14:paraId="73FC38F6" w14:textId="77777777"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2.</w:t>
      </w:r>
      <w:r w:rsidRPr="00286E85">
        <w:rPr>
          <w:rFonts w:ascii="Calibri" w:hAnsi="Calibri"/>
        </w:rPr>
        <w:tab/>
        <w:t xml:space="preserve">Paliwal, H., Parihar, A., &amp; Prajapati, B. G. (2022). Current State-of-the-Art and New Trends in Self-Assembled Nanocarriers as Drug Delivery Systems. Front. </w:t>
      </w:r>
      <w:proofErr w:type="spellStart"/>
      <w:r w:rsidRPr="00286E85">
        <w:rPr>
          <w:rFonts w:ascii="Calibri" w:hAnsi="Calibri"/>
        </w:rPr>
        <w:t>Nanotechnol</w:t>
      </w:r>
      <w:proofErr w:type="spellEnd"/>
      <w:r w:rsidRPr="00286E85">
        <w:rPr>
          <w:rFonts w:ascii="Calibri" w:hAnsi="Calibri"/>
        </w:rPr>
        <w:t xml:space="preserve">. 4: 836674. </w:t>
      </w:r>
      <w:proofErr w:type="spellStart"/>
      <w:r w:rsidRPr="00286E85">
        <w:rPr>
          <w:rFonts w:ascii="Calibri" w:hAnsi="Calibri"/>
        </w:rPr>
        <w:t>doi</w:t>
      </w:r>
      <w:proofErr w:type="spellEnd"/>
      <w:r w:rsidRPr="00286E85">
        <w:rPr>
          <w:rFonts w:ascii="Calibri" w:hAnsi="Calibri"/>
        </w:rPr>
        <w:t>: 10.3389/</w:t>
      </w:r>
      <w:proofErr w:type="spellStart"/>
      <w:r w:rsidRPr="00286E85">
        <w:rPr>
          <w:rFonts w:ascii="Calibri" w:hAnsi="Calibri"/>
        </w:rPr>
        <w:t>fnano</w:t>
      </w:r>
      <w:proofErr w:type="spellEnd"/>
      <w:r w:rsidRPr="00286E85">
        <w:rPr>
          <w:rFonts w:ascii="Calibri" w:hAnsi="Calibri"/>
        </w:rPr>
        <w:t>.</w:t>
      </w:r>
    </w:p>
    <w:p w14:paraId="2E222BFB" w14:textId="77777777"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3.</w:t>
      </w:r>
      <w:r w:rsidRPr="00286E85">
        <w:rPr>
          <w:rFonts w:ascii="Calibri" w:hAnsi="Calibri"/>
        </w:rPr>
        <w:tab/>
        <w:t>Prajapati, B., Paliwal, H., &amp; Patel, J. (2022). Pharmacokinetics of Nanoparticle Systems for Pulmonary Delivery. In Pharmacokinetics and Pharmacodynamics of Nanoparticulate Drug Delivery Systems (pp. 347-364). Springer, Cham.</w:t>
      </w:r>
    </w:p>
    <w:p w14:paraId="6FFE0456" w14:textId="77777777"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4.</w:t>
      </w:r>
      <w:r w:rsidRPr="00286E85">
        <w:rPr>
          <w:rFonts w:ascii="Calibri" w:hAnsi="Calibri"/>
        </w:rPr>
        <w:tab/>
        <w:t>Prajapati, B. G., Patel, H. P., &amp; Patel, J. K. (2022). Nanoparticle Pharmacokinetic Profiling In Vivo Using Magnetic Resonance Imaging. In Pharmacokinetics and Pharmacodynamics of Nanoparticulate Drug Delivery Systems (pp. 399-416). Springer, Cham.</w:t>
      </w:r>
    </w:p>
    <w:p w14:paraId="3F8501E5" w14:textId="7EF9545E" w:rsidR="005973B9" w:rsidRDefault="00286E85" w:rsidP="00286E85">
      <w:pPr>
        <w:pStyle w:val="BodyText"/>
        <w:spacing w:before="85" w:line="216" w:lineRule="exact"/>
        <w:ind w:left="383" w:right="138" w:hanging="284"/>
        <w:jc w:val="both"/>
        <w:rPr>
          <w:rFonts w:ascii="Calibri" w:hAnsi="Calibri"/>
        </w:rPr>
      </w:pPr>
      <w:r w:rsidRPr="00286E85">
        <w:rPr>
          <w:rFonts w:ascii="Calibri" w:hAnsi="Calibri"/>
        </w:rPr>
        <w:t>5.</w:t>
      </w:r>
      <w:r w:rsidRPr="00286E85">
        <w:rPr>
          <w:rFonts w:ascii="Calibri" w:hAnsi="Calibri"/>
        </w:rPr>
        <w:tab/>
        <w:t>Prajapati, B. G., Jivani, M., &amp; Paliwal, H. (2021). Formulation and optimization of topical nanoemulsion based gel of mometasone furoate using 32 full factorial design. Indian drugs, 58(06), 19.</w:t>
      </w:r>
    </w:p>
    <w:p w14:paraId="6CA69597" w14:textId="77777777" w:rsidR="00AE3E37" w:rsidRPr="008756E6" w:rsidRDefault="00AE3E37" w:rsidP="008756E6">
      <w:pPr>
        <w:tabs>
          <w:tab w:val="left" w:pos="384"/>
        </w:tabs>
        <w:ind w:right="117"/>
      </w:pPr>
    </w:p>
    <w:p w14:paraId="4DC5B52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4C42171" w14:textId="749855E0" w:rsidR="00AE3E37" w:rsidRDefault="00D62425">
      <w:pPr>
        <w:pStyle w:val="BodyText"/>
        <w:rPr>
          <w:rFonts w:ascii="Calibri"/>
          <w:sz w:val="20"/>
        </w:rPr>
      </w:pPr>
      <w:r>
        <w:rPr>
          <w:rFonts w:ascii="Calibri"/>
          <w:sz w:val="20"/>
        </w:rPr>
        <w:t xml:space="preserve">                 </w:t>
      </w:r>
    </w:p>
    <w:p w14:paraId="13235AE7" w14:textId="77777777" w:rsidR="00C32BE8" w:rsidRPr="00D62425" w:rsidRDefault="00C32BE8">
      <w:pPr>
        <w:pStyle w:val="BodyText"/>
        <w:rPr>
          <w:rFonts w:ascii="Calibri"/>
          <w:b/>
          <w:sz w:val="20"/>
        </w:rPr>
      </w:pPr>
    </w:p>
    <w:p w14:paraId="6343B853" w14:textId="4E631261"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B198A9B" wp14:editId="4DE756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82A8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C4F17F" w14:textId="2371824F" w:rsidR="00C32BE8" w:rsidRDefault="00C32BE8">
      <w:pPr>
        <w:pStyle w:val="BodyText"/>
        <w:spacing w:line="40" w:lineRule="exact"/>
        <w:ind w:left="2202"/>
        <w:rPr>
          <w:rFonts w:ascii="Calibri"/>
          <w:sz w:val="4"/>
        </w:rPr>
      </w:pPr>
    </w:p>
    <w:p w14:paraId="54A0DD20" w14:textId="3A4FF8F4" w:rsidR="00C32BE8" w:rsidRDefault="00C32BE8">
      <w:pPr>
        <w:pStyle w:val="BodyText"/>
        <w:spacing w:line="40" w:lineRule="exact"/>
        <w:ind w:left="2202"/>
        <w:rPr>
          <w:rFonts w:ascii="Calibri"/>
          <w:sz w:val="4"/>
        </w:rPr>
      </w:pPr>
    </w:p>
    <w:p w14:paraId="290E8ACC" w14:textId="2DEF8C00" w:rsidR="00C32BE8" w:rsidRDefault="00C32BE8">
      <w:pPr>
        <w:pStyle w:val="BodyText"/>
        <w:spacing w:line="40" w:lineRule="exact"/>
        <w:ind w:left="2202"/>
        <w:rPr>
          <w:rFonts w:ascii="Calibri"/>
          <w:sz w:val="4"/>
        </w:rPr>
      </w:pPr>
    </w:p>
    <w:p w14:paraId="59DAB84F" w14:textId="36DDA683" w:rsidR="00C32BE8" w:rsidRDefault="00C32BE8">
      <w:pPr>
        <w:pStyle w:val="BodyText"/>
        <w:spacing w:line="40" w:lineRule="exact"/>
        <w:ind w:left="2202"/>
        <w:rPr>
          <w:rFonts w:ascii="Calibri"/>
          <w:sz w:val="4"/>
        </w:rPr>
      </w:pPr>
    </w:p>
    <w:p w14:paraId="7049B412" w14:textId="77777777" w:rsidR="00C32BE8" w:rsidRDefault="00C32BE8">
      <w:pPr>
        <w:pStyle w:val="BodyText"/>
        <w:spacing w:line="40" w:lineRule="exact"/>
        <w:ind w:left="2202"/>
        <w:rPr>
          <w:rFonts w:ascii="Calibri"/>
          <w:sz w:val="4"/>
        </w:rPr>
      </w:pPr>
    </w:p>
    <w:p w14:paraId="380344E9" w14:textId="4327D78C" w:rsidR="00AE3E37" w:rsidRDefault="008756E6" w:rsidP="00404E5B">
      <w:pPr>
        <w:spacing w:before="92"/>
        <w:ind w:right="4234"/>
        <w:rPr>
          <w:rFonts w:ascii="Arial"/>
        </w:rPr>
      </w:pPr>
      <w:r>
        <w:rPr>
          <w:noProof/>
        </w:rPr>
        <w:t xml:space="preserve">              </w:t>
      </w:r>
      <w:r w:rsidR="00502F92">
        <w:rPr>
          <w:noProof/>
        </w:rPr>
        <w:drawing>
          <wp:inline distT="0" distB="0" distL="0" distR="0" wp14:anchorId="57847D0C" wp14:editId="73777CC6">
            <wp:extent cx="893843" cy="715993"/>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3021" cy="739365"/>
                    </a:xfrm>
                    <a:prstGeom prst="rect">
                      <a:avLst/>
                    </a:prstGeom>
                    <a:noFill/>
                    <a:ln>
                      <a:noFill/>
                    </a:ln>
                  </pic:spPr>
                </pic:pic>
              </a:graphicData>
            </a:graphic>
          </wp:inline>
        </w:drawing>
      </w:r>
      <w:r w:rsidR="00E85AE5">
        <w:rPr>
          <w:noProof/>
        </w:rPr>
        <w:t xml:space="preserve">    </w:t>
      </w:r>
      <w:r w:rsidR="00A9710C">
        <w:rPr>
          <w:rFonts w:ascii="Arial"/>
          <w:color w:val="BF5A14"/>
        </w:rPr>
        <w:t>Biography</w:t>
      </w:r>
    </w:p>
    <w:p w14:paraId="707762AD" w14:textId="4EE114D2" w:rsidR="00AE3E37" w:rsidRDefault="00502F92">
      <w:pPr>
        <w:spacing w:before="41" w:line="154" w:lineRule="exact"/>
        <w:ind w:left="213" w:right="231"/>
        <w:jc w:val="both"/>
        <w:rPr>
          <w:rFonts w:ascii="Arial"/>
          <w:sz w:val="14"/>
        </w:rPr>
      </w:pPr>
      <w:r w:rsidRPr="00502F92">
        <w:rPr>
          <w:rFonts w:ascii="Arial"/>
          <w:sz w:val="14"/>
        </w:rPr>
        <w:t xml:space="preserve">Dr. Bhupendra Prajapati is a Professor in Department of Pharmaceutics, Shree </w:t>
      </w:r>
      <w:proofErr w:type="spellStart"/>
      <w:r w:rsidRPr="00502F92">
        <w:rPr>
          <w:rFonts w:ascii="Arial"/>
          <w:sz w:val="14"/>
        </w:rPr>
        <w:t>S.</w:t>
      </w:r>
      <w:proofErr w:type="gramStart"/>
      <w:r w:rsidRPr="00502F92">
        <w:rPr>
          <w:rFonts w:ascii="Arial"/>
          <w:sz w:val="14"/>
        </w:rPr>
        <w:t>K.Patel</w:t>
      </w:r>
      <w:proofErr w:type="spellEnd"/>
      <w:proofErr w:type="gramEnd"/>
      <w:r w:rsidRPr="00502F92">
        <w:rPr>
          <w:rFonts w:ascii="Arial"/>
          <w:sz w:val="14"/>
        </w:rPr>
        <w:t xml:space="preserve"> College of Pharmaceutical Education and Research, Ganpat University, Gujarat, India. He has more than 20 years of academic and research experience, has published more than 100 research and review papers in international and national Journals. Under his editorial two book under process and he authored 20 book chapters in the </w:t>
      </w:r>
      <w:r w:rsidRPr="00502F92">
        <w:rPr>
          <w:rFonts w:ascii="Arial"/>
          <w:sz w:val="14"/>
        </w:rPr>
        <w:t>field</w:t>
      </w:r>
      <w:r w:rsidRPr="00502F92">
        <w:rPr>
          <w:rFonts w:ascii="Arial"/>
          <w:sz w:val="14"/>
        </w:rPr>
        <w:t xml:space="preserve"> of novel drug delivery. He published two Indian patent and three </w:t>
      </w:r>
      <w:r w:rsidR="00A34DB4" w:rsidRPr="00502F92">
        <w:rPr>
          <w:rFonts w:ascii="Arial"/>
          <w:sz w:val="14"/>
        </w:rPr>
        <w:t>applications</w:t>
      </w:r>
      <w:r w:rsidRPr="00502F92">
        <w:rPr>
          <w:rFonts w:ascii="Arial"/>
          <w:sz w:val="14"/>
        </w:rPr>
        <w:t xml:space="preserve"> under evaluation. He is a reviewer in three high impact journals and is on the editorial board of several scientific </w:t>
      </w:r>
      <w:r w:rsidR="00A34DB4" w:rsidRPr="00502F92">
        <w:rPr>
          <w:rFonts w:ascii="Arial"/>
          <w:sz w:val="14"/>
        </w:rPr>
        <w:t>journals.</w:t>
      </w:r>
    </w:p>
    <w:p w14:paraId="2F11845B" w14:textId="7AF9FD15" w:rsidR="00AE3E37" w:rsidRDefault="00A9710C">
      <w:pPr>
        <w:spacing w:before="62"/>
        <w:ind w:left="4217" w:right="4235"/>
        <w:jc w:val="center"/>
        <w:rPr>
          <w:rFonts w:ascii="Arial"/>
          <w:sz w:val="14"/>
        </w:rPr>
      </w:pPr>
      <w:r>
        <w:rPr>
          <w:rFonts w:ascii="Arial"/>
          <w:sz w:val="14"/>
        </w:rPr>
        <w:t xml:space="preserve">Email: </w:t>
      </w:r>
      <w:hyperlink r:id="rId12" w:history="1">
        <w:r w:rsidR="00A34DB4" w:rsidRPr="009B08B4">
          <w:rPr>
            <w:rStyle w:val="Hyperlink"/>
            <w:rFonts w:ascii="Arial"/>
            <w:sz w:val="14"/>
          </w:rPr>
          <w:t>bhupen27@gmail.com</w:t>
        </w:r>
      </w:hyperlink>
    </w:p>
    <w:p w14:paraId="4E0F542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A289D0B" wp14:editId="031D99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62C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18005DD" w14:textId="4B776988" w:rsidR="00AE3E37" w:rsidRDefault="00AE3E37">
      <w:pPr>
        <w:rPr>
          <w:rFonts w:ascii="Minion Pro"/>
          <w:sz w:val="24"/>
        </w:rPr>
        <w:sectPr w:rsidR="00AE3E37">
          <w:type w:val="continuous"/>
          <w:pgSz w:w="11910" w:h="16840"/>
          <w:pgMar w:top="1740" w:right="600" w:bottom="840" w:left="620" w:header="720" w:footer="720" w:gutter="0"/>
          <w:cols w:space="720"/>
        </w:sectPr>
      </w:pPr>
    </w:p>
    <w:p w14:paraId="276DB366" w14:textId="4679D89A"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47362" w14:textId="77777777" w:rsidR="00706D0B" w:rsidRDefault="00706D0B">
      <w:r>
        <w:separator/>
      </w:r>
    </w:p>
  </w:endnote>
  <w:endnote w:type="continuationSeparator" w:id="0">
    <w:p w14:paraId="6D66C73D" w14:textId="77777777" w:rsidR="00706D0B" w:rsidRDefault="00706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7DD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D39E140" wp14:editId="608355A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D1E7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45CE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9E14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9BD1E7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45CE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79B5D2" wp14:editId="3D40FE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7D1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618C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9B5D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D37D1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618C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15FEF01" wp14:editId="5860B3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AC7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148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FEF0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ADAC7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148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79CF5" w14:textId="77777777" w:rsidR="00706D0B" w:rsidRDefault="00706D0B">
      <w:r>
        <w:separator/>
      </w:r>
    </w:p>
  </w:footnote>
  <w:footnote w:type="continuationSeparator" w:id="0">
    <w:p w14:paraId="2C85C40D" w14:textId="77777777" w:rsidR="00706D0B" w:rsidRDefault="00706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2E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DFC88D" wp14:editId="111DB7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35A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FC88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0D35A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C07CBD3" wp14:editId="12233F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4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2C14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7CB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78D4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2C14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4471318">
    <w:abstractNumId w:val="0"/>
  </w:num>
  <w:num w:numId="2" w16cid:durableId="25983517">
    <w:abstractNumId w:val="1"/>
  </w:num>
  <w:num w:numId="3" w16cid:durableId="181884030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MzUwsjA3NTUyMzFX0lEKTi0uzszPAykwrAUAQw+QJiwAAAA="/>
  </w:docVars>
  <w:rsids>
    <w:rsidRoot w:val="00AE3E37"/>
    <w:rsid w:val="000E2911"/>
    <w:rsid w:val="000F221D"/>
    <w:rsid w:val="001263DF"/>
    <w:rsid w:val="0013183D"/>
    <w:rsid w:val="001E763C"/>
    <w:rsid w:val="00271570"/>
    <w:rsid w:val="00286E85"/>
    <w:rsid w:val="00292ED9"/>
    <w:rsid w:val="002D53B4"/>
    <w:rsid w:val="00314AFB"/>
    <w:rsid w:val="003B76D9"/>
    <w:rsid w:val="00404E5B"/>
    <w:rsid w:val="00414F7B"/>
    <w:rsid w:val="004355DC"/>
    <w:rsid w:val="004749B4"/>
    <w:rsid w:val="00494130"/>
    <w:rsid w:val="004F3523"/>
    <w:rsid w:val="00502F92"/>
    <w:rsid w:val="005973B9"/>
    <w:rsid w:val="005B3A56"/>
    <w:rsid w:val="006060CE"/>
    <w:rsid w:val="0063497F"/>
    <w:rsid w:val="00645A8A"/>
    <w:rsid w:val="00706D0B"/>
    <w:rsid w:val="0078738A"/>
    <w:rsid w:val="0079197E"/>
    <w:rsid w:val="00870D98"/>
    <w:rsid w:val="00873DF0"/>
    <w:rsid w:val="008756E6"/>
    <w:rsid w:val="008837EB"/>
    <w:rsid w:val="009B2D44"/>
    <w:rsid w:val="00A07E82"/>
    <w:rsid w:val="00A34DB4"/>
    <w:rsid w:val="00A9710C"/>
    <w:rsid w:val="00AE3E37"/>
    <w:rsid w:val="00B21A57"/>
    <w:rsid w:val="00C32BE8"/>
    <w:rsid w:val="00C33602"/>
    <w:rsid w:val="00CD6F55"/>
    <w:rsid w:val="00D62425"/>
    <w:rsid w:val="00DE3104"/>
    <w:rsid w:val="00E85AE5"/>
    <w:rsid w:val="00F72E88"/>
    <w:rsid w:val="00F72EEA"/>
    <w:rsid w:val="00F8136A"/>
    <w:rsid w:val="00F84CAE"/>
    <w:rsid w:val="00FA50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2A711"/>
  <w15:docId w15:val="{31AA854F-015B-4B51-B558-24A1A78AA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34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hupen2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Bhupendra Prajapati</cp:lastModifiedBy>
  <cp:revision>4</cp:revision>
  <dcterms:created xsi:type="dcterms:W3CDTF">2022-05-18T16:59:00Z</dcterms:created>
  <dcterms:modified xsi:type="dcterms:W3CDTF">2022-05-18T17:00:00Z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