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24918" w14:textId="5A208A2E" w:rsidR="00B97FDE" w:rsidRPr="00B97FDE" w:rsidRDefault="00B97FDE" w:rsidP="00494130">
      <w:pPr>
        <w:pStyle w:val="Heading1"/>
        <w:spacing w:before="170"/>
        <w:ind w:left="0"/>
        <w:rPr>
          <w:color w:val="337AB7"/>
        </w:rPr>
      </w:pPr>
      <w:r>
        <w:rPr>
          <w:color w:val="337AB7"/>
        </w:rPr>
        <w:t xml:space="preserve">Detection and Detoxification of pesticides in food samples through ionic liquid-functionalized </w:t>
      </w:r>
      <w:proofErr w:type="spellStart"/>
      <w:r>
        <w:rPr>
          <w:color w:val="337AB7"/>
        </w:rPr>
        <w:t>CuNi@MWCNTs</w:t>
      </w:r>
      <w:proofErr w:type="spellEnd"/>
      <w:r>
        <w:rPr>
          <w:color w:val="337AB7"/>
        </w:rPr>
        <w:t xml:space="preserve"> nanocomposite.  </w:t>
      </w:r>
    </w:p>
    <w:p w14:paraId="0871D82E" w14:textId="1EFECDED" w:rsidR="00AE3E37" w:rsidRDefault="00B97FDE" w:rsidP="00B97FDE">
      <w:pPr>
        <w:pStyle w:val="BodyText"/>
        <w:spacing w:before="73" w:line="198" w:lineRule="exact"/>
        <w:ind w:left="100" w:right="5987"/>
        <w:rPr>
          <w:rFonts w:ascii="Arial"/>
          <w:sz w:val="20"/>
        </w:rPr>
      </w:pPr>
      <w:r>
        <w:rPr>
          <w:rFonts w:ascii="Arial"/>
        </w:rPr>
        <w:t xml:space="preserve">Manish Kumar, Ph.D. Scholar, Department of Chemistry, IIT Ropar, India </w:t>
      </w:r>
    </w:p>
    <w:p w14:paraId="127F0E2B" w14:textId="77777777" w:rsidR="00AE3E37" w:rsidRDefault="00AE3E37">
      <w:pPr>
        <w:pStyle w:val="BodyText"/>
        <w:spacing w:before="3"/>
        <w:rPr>
          <w:rFonts w:ascii="Arial"/>
          <w:sz w:val="21"/>
        </w:rPr>
      </w:pPr>
    </w:p>
    <w:p w14:paraId="2F4F369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CEE8784" w14:textId="6EAA6390" w:rsidR="00AE3E37" w:rsidRDefault="00A9710C">
      <w:pPr>
        <w:pStyle w:val="Heading3"/>
        <w:spacing w:before="147"/>
        <w:jc w:val="both"/>
      </w:pPr>
      <w:r>
        <w:rPr>
          <w:color w:val="BF5A14"/>
        </w:rPr>
        <w:t>Abstract</w:t>
      </w:r>
    </w:p>
    <w:p w14:paraId="35D19710" w14:textId="258D2A35" w:rsidR="00AE3E37" w:rsidRDefault="00B97FDE">
      <w:pPr>
        <w:pStyle w:val="BodyText"/>
        <w:spacing w:before="90" w:line="280" w:lineRule="auto"/>
        <w:ind w:left="100"/>
        <w:jc w:val="both"/>
        <w:rPr>
          <w:sz w:val="20"/>
          <w:szCs w:val="20"/>
          <w:lang w:bidi="hi-IN"/>
        </w:rPr>
      </w:pPr>
      <w:r w:rsidRPr="00843F3D">
        <w:rPr>
          <w:rFonts w:eastAsia="AdvOT999035f4"/>
          <w:sz w:val="20"/>
          <w:szCs w:val="20"/>
          <w:lang w:bidi="hi-IN"/>
        </w:rPr>
        <w:t>The change in environmental conditions as well as increasing population with the lack of grain stocks leads to the worldwide demand for food</w:t>
      </w:r>
      <w:r>
        <w:rPr>
          <w:rFonts w:eastAsia="AdvOT999035f4"/>
          <w:sz w:val="20"/>
          <w:szCs w:val="20"/>
          <w:lang w:bidi="hi-IN"/>
        </w:rPr>
        <w:t>.</w:t>
      </w:r>
      <w:r w:rsidRPr="00843F3D">
        <w:rPr>
          <w:rFonts w:eastAsia="AdvOT999035f4"/>
          <w:sz w:val="20"/>
          <w:szCs w:val="20"/>
          <w:lang w:bidi="hi-IN"/>
        </w:rPr>
        <w:t xml:space="preserve"> Accordingly, to conquer the food demand, the utilization of pesticides has been extensively increased.</w:t>
      </w:r>
      <w:r>
        <w:rPr>
          <w:rFonts w:eastAsia="AdvOT999035f4"/>
          <w:sz w:val="20"/>
          <w:szCs w:val="20"/>
          <w:lang w:bidi="hi-IN"/>
        </w:rPr>
        <w:t>[</w:t>
      </w:r>
      <w:r w:rsidRPr="003048F6">
        <w:rPr>
          <w:rFonts w:eastAsia="AdvOT999035f4"/>
          <w:sz w:val="20"/>
          <w:szCs w:val="20"/>
          <w:lang w:bidi="hi-IN"/>
        </w:rPr>
        <w:t>1]</w:t>
      </w:r>
      <w:r w:rsidRPr="00843F3D">
        <w:rPr>
          <w:rFonts w:eastAsia="AdvOT999035f4"/>
          <w:sz w:val="20"/>
          <w:szCs w:val="20"/>
          <w:lang w:bidi="hi-IN"/>
        </w:rPr>
        <w:t xml:space="preserve"> Despite the benefits in the agriculture field, pesticides/insecticides have raised negative consequences for wellbeing and food safety</w:t>
      </w:r>
      <w:r>
        <w:rPr>
          <w:rFonts w:eastAsia="AdvOT999035f4"/>
          <w:sz w:val="20"/>
          <w:szCs w:val="20"/>
          <w:lang w:bidi="hi-IN"/>
        </w:rPr>
        <w:t>.[</w:t>
      </w:r>
      <w:r w:rsidRPr="003048F6">
        <w:rPr>
          <w:rFonts w:eastAsia="AdvOT999035f4"/>
          <w:sz w:val="20"/>
          <w:szCs w:val="20"/>
          <w:lang w:bidi="hi-IN"/>
        </w:rPr>
        <w:t>2]</w:t>
      </w:r>
      <w:r w:rsidRPr="00843F3D">
        <w:rPr>
          <w:rFonts w:eastAsia="AdvOT999035f4"/>
          <w:sz w:val="20"/>
          <w:szCs w:val="20"/>
          <w:lang w:bidi="hi-IN"/>
        </w:rPr>
        <w:t xml:space="preserve"> Imidacloprid has been globally utilized as an insecticide in several crops such as vegetables, maize, rice, potatoes, strawberries and fruits. Since 2003, imidacloprid has ranked constantly in top three insecticides that exceed the limit of concentration permitted by quality norms.</w:t>
      </w:r>
      <w:r>
        <w:rPr>
          <w:rFonts w:eastAsia="AdvOT999035f4"/>
          <w:sz w:val="20"/>
          <w:szCs w:val="20"/>
          <w:lang w:bidi="hi-IN"/>
        </w:rPr>
        <w:t>[</w:t>
      </w:r>
      <w:r w:rsidRPr="003048F6">
        <w:rPr>
          <w:rFonts w:eastAsia="AdvOT999035f4"/>
          <w:sz w:val="20"/>
          <w:szCs w:val="20"/>
          <w:lang w:bidi="hi-IN"/>
        </w:rPr>
        <w:t>3]</w:t>
      </w:r>
      <w:r w:rsidRPr="00843F3D">
        <w:rPr>
          <w:rFonts w:eastAsia="AdvOT999035f4"/>
          <w:sz w:val="20"/>
          <w:szCs w:val="20"/>
          <w:lang w:bidi="hi-IN"/>
        </w:rPr>
        <w:t xml:space="preserve"> Likewise, as recommended by the rules provided by international association, the maximum residue level (MRL) and acceptable daily intakes (ADIs) for imidacloprid are 0.06 mg kg</w:t>
      </w:r>
      <w:r w:rsidRPr="00B50507">
        <w:rPr>
          <w:rFonts w:eastAsia="AdvOT999035f4"/>
          <w:sz w:val="20"/>
          <w:szCs w:val="20"/>
          <w:vertAlign w:val="superscript"/>
          <w:lang w:bidi="hi-IN"/>
        </w:rPr>
        <w:t>−1</w:t>
      </w:r>
      <w:r w:rsidRPr="00843F3D">
        <w:rPr>
          <w:rFonts w:eastAsia="AdvOT999035f4"/>
          <w:sz w:val="20"/>
          <w:szCs w:val="20"/>
          <w:lang w:bidi="hi-IN"/>
        </w:rPr>
        <w:t xml:space="preserve"> and 1 mg kg</w:t>
      </w:r>
      <w:r w:rsidRPr="00B50507">
        <w:rPr>
          <w:rFonts w:eastAsia="AdvOT999035f4"/>
          <w:sz w:val="20"/>
          <w:szCs w:val="20"/>
          <w:vertAlign w:val="superscript"/>
          <w:lang w:bidi="hi-IN"/>
        </w:rPr>
        <w:t>−1</w:t>
      </w:r>
      <w:r w:rsidRPr="00843F3D">
        <w:rPr>
          <w:rFonts w:eastAsia="AdvOT999035f4"/>
          <w:sz w:val="20"/>
          <w:szCs w:val="20"/>
          <w:lang w:bidi="hi-IN"/>
        </w:rPr>
        <w:t xml:space="preserve"> of body weight, respectively.</w:t>
      </w:r>
      <w:r>
        <w:rPr>
          <w:rFonts w:eastAsia="AdvOT999035f4"/>
          <w:sz w:val="20"/>
          <w:szCs w:val="20"/>
          <w:lang w:bidi="hi-IN"/>
        </w:rPr>
        <w:t>[</w:t>
      </w:r>
      <w:r w:rsidRPr="003048F6">
        <w:rPr>
          <w:rFonts w:eastAsia="AdvOT999035f4"/>
          <w:sz w:val="20"/>
          <w:szCs w:val="20"/>
          <w:lang w:bidi="hi-IN"/>
        </w:rPr>
        <w:t>4]</w:t>
      </w:r>
      <w:r w:rsidRPr="00843F3D">
        <w:rPr>
          <w:rFonts w:eastAsia="AdvOT999035f4"/>
          <w:sz w:val="20"/>
          <w:szCs w:val="20"/>
          <w:lang w:bidi="hi-IN"/>
        </w:rPr>
        <w:t xml:space="preserve"> Moreover, the direct intake of imidacloprid can cause memory loss, neural tube disorder in infants, cardiac toxicity and acceleration of respiratory rates in humans.</w:t>
      </w:r>
      <w:r>
        <w:rPr>
          <w:rFonts w:eastAsia="AdvOT999035f4"/>
          <w:sz w:val="20"/>
          <w:szCs w:val="20"/>
          <w:lang w:bidi="hi-IN"/>
        </w:rPr>
        <w:t>[</w:t>
      </w:r>
      <w:r w:rsidRPr="003048F6">
        <w:rPr>
          <w:rFonts w:eastAsia="AdvOT999035f4"/>
          <w:sz w:val="20"/>
          <w:szCs w:val="20"/>
          <w:lang w:bidi="hi-IN"/>
        </w:rPr>
        <w:t>5]</w:t>
      </w:r>
      <w:r w:rsidRPr="00843F3D">
        <w:rPr>
          <w:rFonts w:eastAsia="AdvOT999035f4"/>
          <w:sz w:val="20"/>
          <w:szCs w:val="20"/>
          <w:lang w:bidi="hi-IN"/>
        </w:rPr>
        <w:t xml:space="preserve"> Hence, highly specific and sensitive quantitative assessment and efficient degradation of imidacloprid in food, pharmaceutical and soil samples by an established method is necessitated to keep the above-mentioned hazardous side effects away</w:t>
      </w:r>
      <w:r>
        <w:rPr>
          <w:rFonts w:eastAsia="AdvOT999035f4"/>
          <w:sz w:val="20"/>
          <w:szCs w:val="20"/>
          <w:lang w:bidi="hi-IN"/>
        </w:rPr>
        <w:t>.</w:t>
      </w:r>
      <w:r w:rsidRPr="00816AAF">
        <w:rPr>
          <w:sz w:val="20"/>
          <w:szCs w:val="20"/>
          <w:lang w:bidi="hi-IN"/>
        </w:rPr>
        <w:t xml:space="preserve"> </w:t>
      </w:r>
      <w:r w:rsidRPr="004618E6">
        <w:rPr>
          <w:sz w:val="20"/>
          <w:szCs w:val="20"/>
          <w:lang w:bidi="hi-IN"/>
        </w:rPr>
        <w:t>Herein, we developed a selective, sensitive, cost effective</w:t>
      </w:r>
      <w:r w:rsidRPr="004618E6">
        <w:rPr>
          <w:rFonts w:eastAsia="AdvOT999035f4"/>
          <w:sz w:val="20"/>
          <w:szCs w:val="20"/>
          <w:lang w:bidi="hi-IN"/>
        </w:rPr>
        <w:t xml:space="preserve"> </w:t>
      </w:r>
      <w:r w:rsidRPr="004618E6">
        <w:rPr>
          <w:sz w:val="20"/>
          <w:szCs w:val="20"/>
          <w:lang w:bidi="hi-IN"/>
        </w:rPr>
        <w:t>and efficient catalyst based on CuNi/IL@MWCNTs for</w:t>
      </w:r>
      <w:r w:rsidRPr="004618E6">
        <w:rPr>
          <w:rFonts w:eastAsia="AdvOT999035f4"/>
          <w:sz w:val="20"/>
          <w:szCs w:val="20"/>
          <w:lang w:bidi="hi-IN"/>
        </w:rPr>
        <w:t xml:space="preserve"> </w:t>
      </w:r>
      <w:r w:rsidRPr="004618E6">
        <w:rPr>
          <w:sz w:val="20"/>
          <w:szCs w:val="20"/>
          <w:lang w:bidi="hi-IN"/>
        </w:rPr>
        <w:t>electrochemical detection as well as catalytic detoxification of imidacloprid</w:t>
      </w:r>
      <w:r>
        <w:rPr>
          <w:sz w:val="20"/>
          <w:szCs w:val="20"/>
          <w:lang w:bidi="hi-IN"/>
        </w:rPr>
        <w:t xml:space="preserve">. </w:t>
      </w:r>
      <w:r w:rsidRPr="004618E6">
        <w:rPr>
          <w:sz w:val="20"/>
          <w:szCs w:val="20"/>
          <w:lang w:bidi="hi-IN"/>
        </w:rPr>
        <w:t>The CuNi/IL@MWCNTs was successfully synthesized using the reduction method and AFM, FESEM, PXRD, and XPS confirmed the structure of CuNi/ IL@MWCNTs</w:t>
      </w:r>
      <w:r>
        <w:rPr>
          <w:sz w:val="20"/>
          <w:szCs w:val="20"/>
          <w:lang w:bidi="hi-IN"/>
        </w:rPr>
        <w:t xml:space="preserve"> and</w:t>
      </w:r>
      <w:r w:rsidRPr="004618E6">
        <w:rPr>
          <w:sz w:val="20"/>
          <w:szCs w:val="20"/>
          <w:lang w:bidi="hi-IN"/>
        </w:rPr>
        <w:t xml:space="preserve"> tested for the electrochemical detection of different pesticides and the results showed selectivity towards IMD and the comparison of </w:t>
      </w:r>
      <w:proofErr w:type="spellStart"/>
      <w:r w:rsidRPr="004618E6">
        <w:rPr>
          <w:sz w:val="20"/>
          <w:szCs w:val="20"/>
          <w:lang w:bidi="hi-IN"/>
        </w:rPr>
        <w:t>Rct</w:t>
      </w:r>
      <w:proofErr w:type="spellEnd"/>
      <w:r w:rsidRPr="004618E6">
        <w:rPr>
          <w:sz w:val="20"/>
          <w:szCs w:val="20"/>
          <w:lang w:bidi="hi-IN"/>
        </w:rPr>
        <w:t xml:space="preserve"> of CuNi/IL@MWCNTs with other electrocatalysts showed better electron transferability of CuNi/IL@MWCNTs</w:t>
      </w:r>
      <w:r>
        <w:rPr>
          <w:sz w:val="20"/>
          <w:szCs w:val="20"/>
          <w:lang w:bidi="hi-IN"/>
        </w:rPr>
        <w:t xml:space="preserve">. </w:t>
      </w:r>
      <w:r w:rsidRPr="004618E6">
        <w:rPr>
          <w:sz w:val="20"/>
          <w:szCs w:val="20"/>
          <w:lang w:bidi="hi-IN"/>
        </w:rPr>
        <w:t xml:space="preserve">Moreover, the electrochemical quantification results showed good linearity (0.125–240 </w:t>
      </w:r>
      <w:proofErr w:type="spellStart"/>
      <w:r w:rsidRPr="004618E6">
        <w:rPr>
          <w:sz w:val="20"/>
          <w:szCs w:val="20"/>
          <w:lang w:bidi="hi-IN"/>
        </w:rPr>
        <w:t>μM</w:t>
      </w:r>
      <w:proofErr w:type="spellEnd"/>
      <w:r w:rsidRPr="004618E6">
        <w:rPr>
          <w:sz w:val="20"/>
          <w:szCs w:val="20"/>
          <w:lang w:bidi="hi-IN"/>
        </w:rPr>
        <w:t xml:space="preserve">) and excellent sensitivity (LOD = 11 nM). </w:t>
      </w:r>
    </w:p>
    <w:p w14:paraId="0E5C48A4" w14:textId="77777777" w:rsidR="00B97FDE" w:rsidRDefault="00B97FDE">
      <w:pPr>
        <w:pStyle w:val="BodyText"/>
        <w:spacing w:before="90" w:line="280" w:lineRule="auto"/>
        <w:ind w:left="100"/>
        <w:jc w:val="both"/>
      </w:pPr>
    </w:p>
    <w:p w14:paraId="4E9A5D05" w14:textId="77777777" w:rsidR="00B97FDE" w:rsidRPr="00B97FDE" w:rsidRDefault="00A9710C" w:rsidP="00B97FDE">
      <w:pPr>
        <w:pStyle w:val="Heading3"/>
        <w:spacing w:before="74"/>
        <w:jc w:val="both"/>
        <w:rPr>
          <w:rFonts w:ascii="Tw Cen MT" w:hAnsi="Tw Cen MT"/>
          <w:b w:val="0"/>
          <w:bCs w:val="0"/>
        </w:rPr>
      </w:pPr>
      <w:r>
        <w:rPr>
          <w:b w:val="0"/>
        </w:rPr>
        <w:br w:type="column"/>
      </w:r>
      <w:r w:rsidR="00B97FDE" w:rsidRPr="00B97FDE">
        <w:rPr>
          <w:rFonts w:ascii="Tw Cen MT" w:hAnsi="Tw Cen MT"/>
          <w:b w:val="0"/>
          <w:bCs w:val="0"/>
          <w:lang w:bidi="hi-IN"/>
        </w:rPr>
        <w:t>The developed CuNi/IL@MWCNTs has also been successfully validated by detecting the IMD in food samples with excellent recovery (97.4–101.2%). In addition to the quantification of IMD, the CuNi/IL@MWCNTs was successfully tested for catalytic degradation/detoxification of IMD, which was monitored using UV-visible spectroscopy and LC-MS with a degradation efficiency of 99.6% in 100 s. Furthermore, after usage, the easy extraction of CuNi/IL@MWCNTs utilizing a magnet makes the catalyst eco-friendlier, cost effective and reproducible. Hence, the proposed detection and degradation method could provide sensitive, selective, cost effective, quick and simple monitoring of insecticides' toxicity in food samples to help a safe world-wide food supply</w:t>
      </w:r>
      <w:r w:rsidR="00B97FDE" w:rsidRPr="00B97FDE">
        <w:rPr>
          <w:rFonts w:ascii="Tw Cen MT" w:hAnsi="Tw Cen MT"/>
          <w:b w:val="0"/>
          <w:bCs w:val="0"/>
        </w:rPr>
        <w:t>.</w:t>
      </w:r>
    </w:p>
    <w:p w14:paraId="449D1EEC" w14:textId="1F5302AD" w:rsidR="00AE3E37" w:rsidRDefault="00A9710C">
      <w:pPr>
        <w:pStyle w:val="Heading3"/>
        <w:spacing w:before="74"/>
      </w:pPr>
      <w:r>
        <w:rPr>
          <w:color w:val="BF5A14"/>
        </w:rPr>
        <w:t>Image</w:t>
      </w:r>
    </w:p>
    <w:p w14:paraId="652258C3" w14:textId="5692201E" w:rsidR="005973B9" w:rsidRPr="00230733" w:rsidRDefault="00B97FDE" w:rsidP="00230733">
      <w:pPr>
        <w:pStyle w:val="BodyText"/>
        <w:spacing w:before="2"/>
        <w:rPr>
          <w:rFonts w:ascii="Arial"/>
          <w:b/>
          <w:sz w:val="16"/>
        </w:rPr>
      </w:pPr>
      <w:r>
        <w:rPr>
          <w:rFonts w:ascii="Arial"/>
          <w:b/>
          <w:noProof/>
          <w:sz w:val="16"/>
        </w:rPr>
        <w:drawing>
          <wp:inline distT="0" distB="0" distL="0" distR="0" wp14:anchorId="6C58547B" wp14:editId="2C5D39EA">
            <wp:extent cx="3320216" cy="1432560"/>
            <wp:effectExtent l="0" t="0" r="0" b="0"/>
            <wp:docPr id="1734005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36915" cy="1439765"/>
                    </a:xfrm>
                    <a:prstGeom prst="rect">
                      <a:avLst/>
                    </a:prstGeom>
                    <a:noFill/>
                  </pic:spPr>
                </pic:pic>
              </a:graphicData>
            </a:graphic>
          </wp:inline>
        </w:drawing>
      </w:r>
      <w:r w:rsidRPr="00B97FDE">
        <w:rPr>
          <w:sz w:val="20"/>
          <w:szCs w:val="20"/>
          <w:lang w:bidi="hi-IN"/>
        </w:rPr>
        <w:t>Figure: Graphical Abstract for electrochemical sensing and catalytic degradation of Imidacloprid.</w:t>
      </w:r>
      <w:r w:rsidR="005973B9" w:rsidRPr="00B97FDE">
        <w:rPr>
          <w:color w:val="BF5A14"/>
          <w:sz w:val="20"/>
        </w:rPr>
        <w:br/>
      </w:r>
      <w:r w:rsidR="005973B9">
        <w:rPr>
          <w:rFonts w:ascii="Arial"/>
          <w:b/>
          <w:color w:val="BF5A14"/>
          <w:sz w:val="20"/>
        </w:rPr>
        <w:t>Recent Publications (minimum 5)</w:t>
      </w:r>
    </w:p>
    <w:p w14:paraId="404FC095" w14:textId="2FD2F7D7" w:rsidR="00B97FDE" w:rsidRPr="00D662DD" w:rsidRDefault="00B97FDE" w:rsidP="00B97FDE">
      <w:pPr>
        <w:pStyle w:val="P1withoutIndendation"/>
        <w:rPr>
          <w:sz w:val="20"/>
          <w:szCs w:val="20"/>
        </w:rPr>
      </w:pPr>
      <w:r>
        <w:rPr>
          <w:sz w:val="20"/>
          <w:szCs w:val="20"/>
        </w:rPr>
        <w:t>1.</w:t>
      </w:r>
      <w:r w:rsidRPr="00D662DD">
        <w:rPr>
          <w:noProof/>
          <w:sz w:val="20"/>
          <w:szCs w:val="20"/>
        </w:rPr>
        <w:t xml:space="preserve"> C. Wang, S. Moreno and M. Minary-Jolandan, </w:t>
      </w:r>
      <w:r w:rsidRPr="00D662DD">
        <w:rPr>
          <w:i/>
          <w:iCs/>
          <w:noProof/>
          <w:sz w:val="20"/>
          <w:szCs w:val="20"/>
        </w:rPr>
        <w:t>ACS Appl. Mater. Interfaces</w:t>
      </w:r>
      <w:r w:rsidRPr="00D662DD">
        <w:rPr>
          <w:noProof/>
          <w:sz w:val="20"/>
          <w:szCs w:val="20"/>
        </w:rPr>
        <w:t xml:space="preserve">, 2020, </w:t>
      </w:r>
      <w:r w:rsidRPr="00D662DD">
        <w:rPr>
          <w:b/>
          <w:bCs/>
          <w:noProof/>
          <w:sz w:val="20"/>
          <w:szCs w:val="20"/>
        </w:rPr>
        <w:t>12</w:t>
      </w:r>
      <w:r w:rsidRPr="00D662DD">
        <w:rPr>
          <w:noProof/>
          <w:sz w:val="20"/>
          <w:szCs w:val="20"/>
        </w:rPr>
        <w:t>, 18683–18691</w:t>
      </w:r>
    </w:p>
    <w:p w14:paraId="4E9BEC8B" w14:textId="4404A659" w:rsidR="00B97FDE" w:rsidRPr="00D662DD" w:rsidRDefault="00B97FDE" w:rsidP="00B97FDE">
      <w:pPr>
        <w:pStyle w:val="P1withoutIndendation"/>
        <w:rPr>
          <w:sz w:val="20"/>
          <w:szCs w:val="20"/>
        </w:rPr>
      </w:pPr>
      <w:r>
        <w:rPr>
          <w:sz w:val="20"/>
          <w:szCs w:val="20"/>
        </w:rPr>
        <w:t>2.</w:t>
      </w:r>
      <w:r w:rsidRPr="00D662DD">
        <w:rPr>
          <w:sz w:val="20"/>
          <w:szCs w:val="20"/>
        </w:rPr>
        <w:t xml:space="preserve"> </w:t>
      </w:r>
      <w:r w:rsidRPr="00D662DD">
        <w:rPr>
          <w:noProof/>
          <w:sz w:val="20"/>
          <w:szCs w:val="20"/>
        </w:rPr>
        <w:t xml:space="preserve">T. Hasegawa, P. Havlík, S. Frank, A. Palazzo and H. Valin, </w:t>
      </w:r>
      <w:r w:rsidRPr="00D662DD">
        <w:rPr>
          <w:i/>
          <w:iCs/>
          <w:noProof/>
          <w:sz w:val="20"/>
          <w:szCs w:val="20"/>
        </w:rPr>
        <w:t>Nat. Sustain.</w:t>
      </w:r>
      <w:r w:rsidRPr="00D662DD">
        <w:rPr>
          <w:noProof/>
          <w:sz w:val="20"/>
          <w:szCs w:val="20"/>
        </w:rPr>
        <w:t xml:space="preserve">, 2019, </w:t>
      </w:r>
      <w:r w:rsidRPr="00D662DD">
        <w:rPr>
          <w:b/>
          <w:bCs/>
          <w:noProof/>
          <w:sz w:val="20"/>
          <w:szCs w:val="20"/>
        </w:rPr>
        <w:t>2</w:t>
      </w:r>
      <w:r w:rsidRPr="00D662DD">
        <w:rPr>
          <w:noProof/>
          <w:sz w:val="20"/>
          <w:szCs w:val="20"/>
        </w:rPr>
        <w:t>, 826–833</w:t>
      </w:r>
    </w:p>
    <w:p w14:paraId="4ECE7739" w14:textId="60DD8FFE" w:rsidR="00B97FDE" w:rsidRPr="00D662DD" w:rsidRDefault="00B97FDE" w:rsidP="00B97FDE">
      <w:pPr>
        <w:pStyle w:val="P1withoutIndendation"/>
        <w:rPr>
          <w:rStyle w:val="nlmfpage"/>
          <w:rFonts w:eastAsia="AdvOT999035f4"/>
          <w:sz w:val="20"/>
          <w:szCs w:val="20"/>
          <w:lang w:eastAsia="en-IN"/>
        </w:rPr>
      </w:pPr>
      <w:r>
        <w:rPr>
          <w:rStyle w:val="nlmstring-name"/>
          <w:color w:val="000000"/>
          <w:sz w:val="20"/>
          <w:szCs w:val="20"/>
        </w:rPr>
        <w:t>3.</w:t>
      </w:r>
      <w:r w:rsidRPr="00D662DD">
        <w:rPr>
          <w:rStyle w:val="nlmstring-name"/>
          <w:color w:val="000000"/>
          <w:sz w:val="20"/>
          <w:szCs w:val="20"/>
        </w:rPr>
        <w:t xml:space="preserve"> </w:t>
      </w:r>
      <w:r w:rsidRPr="00D662DD">
        <w:rPr>
          <w:noProof/>
          <w:sz w:val="20"/>
          <w:szCs w:val="20"/>
        </w:rPr>
        <w:t xml:space="preserve">C. A. Hallmann, R. P. B. Foppen, , H. De Kroon and E. Jongejans, </w:t>
      </w:r>
      <w:r w:rsidRPr="00D662DD">
        <w:rPr>
          <w:i/>
          <w:iCs/>
          <w:noProof/>
          <w:sz w:val="20"/>
          <w:szCs w:val="20"/>
        </w:rPr>
        <w:t>Nature</w:t>
      </w:r>
      <w:r w:rsidRPr="00D662DD">
        <w:rPr>
          <w:noProof/>
          <w:sz w:val="20"/>
          <w:szCs w:val="20"/>
        </w:rPr>
        <w:t xml:space="preserve">, 2014, </w:t>
      </w:r>
      <w:r w:rsidRPr="00D662DD">
        <w:rPr>
          <w:b/>
          <w:bCs/>
          <w:noProof/>
          <w:sz w:val="20"/>
          <w:szCs w:val="20"/>
        </w:rPr>
        <w:t>511</w:t>
      </w:r>
      <w:r w:rsidRPr="00D662DD">
        <w:rPr>
          <w:noProof/>
          <w:sz w:val="20"/>
          <w:szCs w:val="20"/>
        </w:rPr>
        <w:t>, 341–343.</w:t>
      </w:r>
    </w:p>
    <w:p w14:paraId="61C0A0AB" w14:textId="40EBC428" w:rsidR="00B97FDE" w:rsidRPr="00D662DD" w:rsidRDefault="00B97FDE" w:rsidP="00B97FDE">
      <w:pPr>
        <w:pStyle w:val="P1withoutIndendation"/>
        <w:tabs>
          <w:tab w:val="left" w:pos="270"/>
        </w:tabs>
        <w:ind w:left="360" w:hanging="360"/>
        <w:rPr>
          <w:bCs/>
          <w:sz w:val="20"/>
          <w:szCs w:val="20"/>
        </w:rPr>
      </w:pPr>
      <w:r>
        <w:rPr>
          <w:rFonts w:eastAsia="AdvOT999035f4"/>
          <w:sz w:val="20"/>
          <w:szCs w:val="20"/>
          <w:lang w:eastAsia="en-IN"/>
        </w:rPr>
        <w:t xml:space="preserve">4. </w:t>
      </w:r>
      <w:r w:rsidRPr="00D662DD">
        <w:rPr>
          <w:sz w:val="20"/>
          <w:szCs w:val="20"/>
        </w:rPr>
        <w:t>FAOSTAT. https://www.fao.org/fao-who-codexalimentarius/codex-texts/dbs/pestres/commodities-detail/en/?lang=en&amp;c_id=278. (2004)</w:t>
      </w:r>
      <w:r w:rsidRPr="00D662DD">
        <w:rPr>
          <w:bCs/>
          <w:sz w:val="20"/>
          <w:szCs w:val="20"/>
        </w:rPr>
        <w:t xml:space="preserve"> </w:t>
      </w:r>
    </w:p>
    <w:p w14:paraId="35E0AD98" w14:textId="002DD92A" w:rsidR="00B97FDE" w:rsidRPr="00174D6A" w:rsidRDefault="00B97FDE" w:rsidP="00B97FDE">
      <w:pPr>
        <w:pStyle w:val="P1withoutIndendation"/>
        <w:ind w:left="270" w:hanging="270"/>
        <w:rPr>
          <w:sz w:val="20"/>
          <w:szCs w:val="20"/>
        </w:rPr>
      </w:pPr>
      <w:r>
        <w:rPr>
          <w:rFonts w:eastAsia="AdvOT999035f4"/>
          <w:sz w:val="20"/>
          <w:szCs w:val="20"/>
          <w:lang w:eastAsia="en-IN"/>
        </w:rPr>
        <w:t>5.</w:t>
      </w:r>
      <w:r w:rsidRPr="00D662DD">
        <w:rPr>
          <w:rFonts w:eastAsia="AdvOT999035f4"/>
          <w:sz w:val="20"/>
          <w:szCs w:val="20"/>
          <w:lang w:eastAsia="en-IN"/>
        </w:rPr>
        <w:t xml:space="preserve"> </w:t>
      </w:r>
      <w:r w:rsidRPr="00D662DD">
        <w:rPr>
          <w:noProof/>
          <w:sz w:val="20"/>
          <w:szCs w:val="20"/>
        </w:rPr>
        <w:t xml:space="preserve">L. R. Gao, S. Li, J. Zhang, C. Liang, E. N. Chen, S. Y. Zhang, M. Chuai, Y. P. Bao, G. Wang and X. Yang, </w:t>
      </w:r>
      <w:r w:rsidRPr="00D662DD">
        <w:rPr>
          <w:i/>
          <w:iCs/>
          <w:noProof/>
          <w:sz w:val="20"/>
          <w:szCs w:val="20"/>
        </w:rPr>
        <w:t>J. Agric. Food Chem.</w:t>
      </w:r>
      <w:r w:rsidRPr="00D662DD">
        <w:rPr>
          <w:noProof/>
          <w:sz w:val="20"/>
          <w:szCs w:val="20"/>
        </w:rPr>
        <w:t xml:space="preserve">, 2016, </w:t>
      </w:r>
      <w:r w:rsidRPr="00D662DD">
        <w:rPr>
          <w:b/>
          <w:bCs/>
          <w:noProof/>
          <w:sz w:val="20"/>
          <w:szCs w:val="20"/>
        </w:rPr>
        <w:t>64</w:t>
      </w:r>
      <w:r w:rsidRPr="00D662DD">
        <w:rPr>
          <w:noProof/>
          <w:sz w:val="20"/>
          <w:szCs w:val="20"/>
        </w:rPr>
        <w:t>, 9078–9088</w:t>
      </w:r>
    </w:p>
    <w:p w14:paraId="44050751" w14:textId="77777777" w:rsidR="00AE3E37" w:rsidRPr="008756E6" w:rsidRDefault="00AE3E37" w:rsidP="008756E6">
      <w:pPr>
        <w:tabs>
          <w:tab w:val="left" w:pos="384"/>
        </w:tabs>
        <w:ind w:right="117"/>
      </w:pPr>
    </w:p>
    <w:p w14:paraId="0FF68FB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0F2FD93" w14:textId="06F1D389" w:rsidR="00AE3E37" w:rsidRPr="00D62425" w:rsidRDefault="00D62425">
      <w:pPr>
        <w:pStyle w:val="BodyText"/>
        <w:rPr>
          <w:rFonts w:ascii="Calibri"/>
          <w:b/>
          <w:sz w:val="20"/>
        </w:rPr>
      </w:pPr>
      <w:r>
        <w:rPr>
          <w:rFonts w:ascii="Calibri"/>
          <w:sz w:val="20"/>
        </w:rPr>
        <w:t xml:space="preserve">                 </w:t>
      </w:r>
    </w:p>
    <w:p w14:paraId="04F6B17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43088A3" wp14:editId="54F68FC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7817A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4203F3D" w14:textId="26FD0800" w:rsidR="00AE3E37" w:rsidRPr="001B417E" w:rsidRDefault="001B417E" w:rsidP="001B417E">
      <w:pPr>
        <w:spacing w:before="92"/>
        <w:ind w:right="4234"/>
        <w:rPr>
          <w:rFonts w:ascii="Arial"/>
        </w:rPr>
      </w:pPr>
      <w:r>
        <w:rPr>
          <w:noProof/>
        </w:rPr>
        <w:drawing>
          <wp:anchor distT="0" distB="0" distL="114300" distR="114300" simplePos="0" relativeHeight="251659264" behindDoc="0" locked="0" layoutInCell="1" allowOverlap="1" wp14:anchorId="20D47B3D" wp14:editId="45884BEB">
            <wp:simplePos x="0" y="0"/>
            <wp:positionH relativeFrom="column">
              <wp:posOffset>167005</wp:posOffset>
            </wp:positionH>
            <wp:positionV relativeFrom="paragraph">
              <wp:posOffset>126796</wp:posOffset>
            </wp:positionV>
            <wp:extent cx="741045" cy="879475"/>
            <wp:effectExtent l="0" t="0" r="1905" b="0"/>
            <wp:wrapSquare wrapText="bothSides"/>
            <wp:docPr id="7556784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4779" t="19858" r="21331" b="28574"/>
                    <a:stretch/>
                  </pic:blipFill>
                  <pic:spPr bwMode="auto">
                    <a:xfrm>
                      <a:off x="0" y="0"/>
                      <a:ext cx="741045" cy="879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
    <w:p w14:paraId="69DA065E" w14:textId="01123C01" w:rsidR="001B417E" w:rsidRPr="001B417E" w:rsidRDefault="001B417E" w:rsidP="001B417E">
      <w:pPr>
        <w:spacing w:before="41"/>
        <w:ind w:left="213" w:right="231"/>
        <w:jc w:val="both"/>
        <w:rPr>
          <w:rFonts w:ascii="Arial"/>
          <w:sz w:val="14"/>
        </w:rPr>
      </w:pPr>
      <w:r w:rsidRPr="001B417E">
        <w:rPr>
          <w:rFonts w:eastAsia="Times New Roman" w:cstheme="minorHAnsi"/>
          <w:b/>
          <w:bCs/>
          <w:sz w:val="24"/>
          <w:szCs w:val="24"/>
        </w:rPr>
        <w:t>Manish Kumar</w:t>
      </w:r>
      <w:r w:rsidRPr="001B417E">
        <w:rPr>
          <w:rFonts w:eastAsia="Times New Roman" w:cstheme="minorHAnsi"/>
          <w:sz w:val="24"/>
          <w:szCs w:val="24"/>
        </w:rPr>
        <w:t xml:space="preserve"> received his M.Sc. degree from the Department of Chemistry, Maharshi Dayanand University, Rohtak in 2018. Currently, he is pursuing his Ph.D. from Department of Chemistry, Indian Institute of Technology Ropar under the supervision of Dr. Narinder Singh with research interest lies in inorganic and material chemistry, and development of chromogenic </w:t>
      </w:r>
      <w:r>
        <w:rPr>
          <w:rFonts w:eastAsia="Times New Roman" w:cstheme="minorHAnsi"/>
          <w:sz w:val="24"/>
          <w:szCs w:val="24"/>
        </w:rPr>
        <w:t xml:space="preserve">and electrochemical </w:t>
      </w:r>
      <w:r w:rsidRPr="001B417E">
        <w:rPr>
          <w:rFonts w:eastAsia="Times New Roman" w:cstheme="minorHAnsi"/>
          <w:sz w:val="24"/>
          <w:szCs w:val="24"/>
        </w:rPr>
        <w:t>materials for their application in environment monitoring</w:t>
      </w:r>
      <w:r w:rsidR="00F77AF6">
        <w:rPr>
          <w:rFonts w:eastAsia="Times New Roman" w:cstheme="minorHAnsi"/>
          <w:sz w:val="24"/>
          <w:szCs w:val="24"/>
        </w:rPr>
        <w:t>.</w:t>
      </w:r>
    </w:p>
    <w:p w14:paraId="364C2BCA" w14:textId="2A0062A3" w:rsidR="00AE3E37" w:rsidRPr="001B417E" w:rsidRDefault="00A9710C" w:rsidP="001B417E">
      <w:pPr>
        <w:spacing w:before="62"/>
        <w:ind w:left="4217" w:right="4235"/>
        <w:jc w:val="center"/>
        <w:rPr>
          <w:rFonts w:ascii="Arial"/>
          <w:sz w:val="14"/>
        </w:rPr>
      </w:pPr>
      <w:r>
        <w:rPr>
          <w:rFonts w:ascii="Arial"/>
          <w:sz w:val="14"/>
        </w:rPr>
        <w:t xml:space="preserve">Email: </w:t>
      </w:r>
      <w:r w:rsidR="001B417E" w:rsidRPr="001B417E">
        <w:rPr>
          <w:rFonts w:ascii="Arial"/>
          <w:sz w:val="14"/>
        </w:rPr>
        <w:t>20</w:t>
      </w:r>
      <w:r w:rsidR="001B417E">
        <w:rPr>
          <w:rFonts w:ascii="Arial"/>
          <w:sz w:val="14"/>
        </w:rPr>
        <w:t>18cyz0016@iitrpr.ac.in</w:t>
      </w:r>
      <w:r w:rsidR="00292ED9">
        <w:rPr>
          <w:noProof/>
          <w:lang w:val="en-IN" w:eastAsia="en-IN"/>
        </w:rPr>
        <mc:AlternateContent>
          <mc:Choice Requires="wps">
            <w:drawing>
              <wp:anchor distT="0" distB="0" distL="0" distR="0" simplePos="0" relativeHeight="251656192" behindDoc="0" locked="0" layoutInCell="1" allowOverlap="1" wp14:anchorId="48FCF252" wp14:editId="2AE90A5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005952"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338A712" w14:textId="77777777" w:rsidR="00AE3E37" w:rsidRDefault="00AE3E37">
      <w:pPr>
        <w:pStyle w:val="BodyText"/>
        <w:rPr>
          <w:rFonts w:ascii="Arial"/>
          <w:sz w:val="20"/>
        </w:rPr>
      </w:pPr>
    </w:p>
    <w:p w14:paraId="71AC9536" w14:textId="6EAAEC80" w:rsidR="00AE3E37" w:rsidRPr="00B97FDE" w:rsidRDefault="00AE3E37" w:rsidP="00B97FDE">
      <w:pPr>
        <w:spacing w:before="39"/>
        <w:rPr>
          <w:rFonts w:ascii="Minion Pro"/>
          <w:b/>
          <w:sz w:val="20"/>
        </w:rPr>
        <w:sectPr w:rsidR="00AE3E37" w:rsidRPr="00B97FDE">
          <w:type w:val="continuous"/>
          <w:pgSz w:w="11910" w:h="16840"/>
          <w:pgMar w:top="1740" w:right="600" w:bottom="840" w:left="620" w:header="720" w:footer="720" w:gutter="0"/>
          <w:cols w:space="720"/>
        </w:sectPr>
      </w:pPr>
    </w:p>
    <w:p w14:paraId="04E529B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DD9CF" w14:textId="77777777" w:rsidR="007D5FCF" w:rsidRDefault="007D5FCF">
      <w:r>
        <w:separator/>
      </w:r>
    </w:p>
  </w:endnote>
  <w:endnote w:type="continuationSeparator" w:id="0">
    <w:p w14:paraId="3ED5CB38" w14:textId="77777777" w:rsidR="007D5FCF" w:rsidRDefault="007D5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OT999035f4">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8DDA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1B6F796" wp14:editId="6344DF7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8ACB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24685D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B6F79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5D38ACB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24685D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43D3431" wp14:editId="1B081E7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FDB7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64439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D343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320FDB7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64439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18636FE" wp14:editId="34F86DB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1296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0CEE59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636F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7AF1296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0CEE59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ABE6E" w14:textId="77777777" w:rsidR="007D5FCF" w:rsidRDefault="007D5FCF">
      <w:r>
        <w:separator/>
      </w:r>
    </w:p>
  </w:footnote>
  <w:footnote w:type="continuationSeparator" w:id="0">
    <w:p w14:paraId="57547C1E" w14:textId="77777777" w:rsidR="007D5FCF" w:rsidRDefault="007D5F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5FA7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1C946DE" wp14:editId="41B089F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6BFB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946D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3996BFB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CA8C47C" wp14:editId="61868C0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744C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F6F77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8C47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0C5744C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F6F77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445932228">
    <w:abstractNumId w:val="0"/>
  </w:num>
  <w:num w:numId="2" w16cid:durableId="1882281643">
    <w:abstractNumId w:val="1"/>
  </w:num>
  <w:num w:numId="3" w16cid:durableId="45128426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B417E"/>
    <w:rsid w:val="001E763C"/>
    <w:rsid w:val="00230733"/>
    <w:rsid w:val="00292ED9"/>
    <w:rsid w:val="00314AFB"/>
    <w:rsid w:val="003B76D9"/>
    <w:rsid w:val="00404E5B"/>
    <w:rsid w:val="00414F7B"/>
    <w:rsid w:val="004355DC"/>
    <w:rsid w:val="004749B4"/>
    <w:rsid w:val="00494130"/>
    <w:rsid w:val="004F3523"/>
    <w:rsid w:val="005973B9"/>
    <w:rsid w:val="005B3A56"/>
    <w:rsid w:val="006060CE"/>
    <w:rsid w:val="0063497F"/>
    <w:rsid w:val="0078738A"/>
    <w:rsid w:val="007D5FCF"/>
    <w:rsid w:val="00873DF0"/>
    <w:rsid w:val="008756E6"/>
    <w:rsid w:val="009B2D44"/>
    <w:rsid w:val="00A07E82"/>
    <w:rsid w:val="00A9710C"/>
    <w:rsid w:val="00AE3E37"/>
    <w:rsid w:val="00B21A57"/>
    <w:rsid w:val="00B97FDE"/>
    <w:rsid w:val="00C33602"/>
    <w:rsid w:val="00CD6F55"/>
    <w:rsid w:val="00D62425"/>
    <w:rsid w:val="00DE3104"/>
    <w:rsid w:val="00F72EEA"/>
    <w:rsid w:val="00F77AF6"/>
    <w:rsid w:val="00F8136A"/>
    <w:rsid w:val="00F84CAE"/>
    <w:rsid w:val="00FA642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DA0A9"/>
  <w15:docId w15:val="{3631F6A3-CF14-4301-9A14-A6A4F7B5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1withoutIndendation">
    <w:name w:val="P1_without_Indendation"/>
    <w:basedOn w:val="Normal"/>
    <w:qFormat/>
    <w:rsid w:val="00B97FDE"/>
    <w:pPr>
      <w:widowControl/>
      <w:spacing w:line="220" w:lineRule="exact"/>
      <w:jc w:val="both"/>
    </w:pPr>
    <w:rPr>
      <w:rFonts w:ascii="Times New Roman" w:eastAsia="MS Mincho" w:hAnsi="Times New Roman" w:cs="Times New Roman"/>
      <w:sz w:val="18"/>
      <w:szCs w:val="24"/>
      <w:lang w:val="de-DE" w:eastAsia="ja-JP"/>
    </w:rPr>
  </w:style>
  <w:style w:type="character" w:customStyle="1" w:styleId="nlmstring-name">
    <w:name w:val="nlm_string-name"/>
    <w:basedOn w:val="DefaultParagraphFont"/>
    <w:rsid w:val="00B97FDE"/>
  </w:style>
  <w:style w:type="character" w:customStyle="1" w:styleId="nlmfpage">
    <w:name w:val="nlm_fpage"/>
    <w:basedOn w:val="DefaultParagraphFont"/>
    <w:rsid w:val="00B97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MANISH JANGRA</cp:lastModifiedBy>
  <cp:revision>2</cp:revision>
  <dcterms:created xsi:type="dcterms:W3CDTF">2023-07-04T12:02:00Z</dcterms:created>
  <dcterms:modified xsi:type="dcterms:W3CDTF">2023-07-04T12:02:00Z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