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51F" w:rsidRPr="00EF1E9D" w:rsidRDefault="00EC651F" w:rsidP="00EF1E9D">
      <w:pPr>
        <w:jc w:val="center"/>
        <w:rPr>
          <w:rFonts w:ascii="Times New Roman" w:hAnsi="Times New Roman" w:cs="Times New Roman"/>
          <w:b/>
          <w:sz w:val="24"/>
          <w:szCs w:val="24"/>
        </w:rPr>
      </w:pPr>
      <w:r w:rsidRPr="00EF1E9D">
        <w:rPr>
          <w:rFonts w:eastAsia="Minion Pro"/>
          <w:b/>
        </w:rPr>
        <w:t>Title:</w:t>
      </w:r>
      <w:r w:rsidRPr="00AF70CD">
        <w:rPr>
          <w:rFonts w:eastAsia="Minion Pro"/>
        </w:rPr>
        <w:t xml:space="preserve"> </w:t>
      </w:r>
      <w:r w:rsidR="00EF1E9D" w:rsidRPr="00EF1E9D">
        <w:t>Development of pH independent cyclodextrin capped silica hybrids as nanocarrier for control drug release</w:t>
      </w:r>
    </w:p>
    <w:p w:rsidR="00AF70CD" w:rsidRDefault="00EF1E9D" w:rsidP="00AF70CD">
      <w:pPr>
        <w:pStyle w:val="NoSpacing"/>
      </w:pPr>
      <w:r>
        <w:t>Fatima Tariq</w:t>
      </w:r>
      <w:r w:rsidR="00EC651F">
        <w:t>, Ph D, Department of</w:t>
      </w:r>
      <w:r>
        <w:t xml:space="preserve"> Environmental Science</w:t>
      </w:r>
      <w:r w:rsidR="00AF70CD">
        <w:t xml:space="preserve">, </w:t>
      </w:r>
      <w:r>
        <w:t>Fatima Jinnah Women University</w:t>
      </w:r>
      <w:r w:rsidR="00AF70CD">
        <w:t xml:space="preserve">, </w:t>
      </w:r>
      <w:r>
        <w:t>Pakistan</w:t>
      </w:r>
      <w:r w:rsidR="00AF70CD">
        <w:t>.</w:t>
      </w:r>
    </w:p>
    <w:p w:rsidR="00AF70CD" w:rsidRDefault="00EF1E9D" w:rsidP="00AF70CD">
      <w:pPr>
        <w:pStyle w:val="NoSpacing"/>
      </w:pPr>
      <w:r>
        <w:t>Uzaira Rafique</w:t>
      </w:r>
      <w:r w:rsidR="00AF70CD">
        <w:t>, Ph D, Department of</w:t>
      </w:r>
      <w:r w:rsidRPr="00EF1E9D">
        <w:t xml:space="preserve"> </w:t>
      </w:r>
      <w:r>
        <w:t>Environmental Science, Fatima Jinnah Women University, Pakistan</w:t>
      </w:r>
      <w:r w:rsidR="00AF70CD">
        <w:t>.</w:t>
      </w: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F70CD" w:rsidRPr="00EF1E9D" w:rsidRDefault="00A24950" w:rsidP="00EF1E9D">
      <w:pPr>
        <w:tabs>
          <w:tab w:val="left" w:pos="284"/>
        </w:tabs>
        <w:rPr>
          <w:rFonts w:ascii="Times New Roman" w:hAnsi="Times New Roman" w:cs="Times New Roman"/>
          <w:b/>
          <w:color w:val="000000" w:themeColor="text1"/>
          <w:sz w:val="24"/>
          <w:szCs w:val="24"/>
        </w:rPr>
      </w:pPr>
      <w:r w:rsidRPr="00EF1E9D">
        <w:rPr>
          <w:rFonts w:ascii="Times New Roman" w:hAnsi="Times New Roman" w:cs="Times New Roman"/>
          <w:b/>
          <w:color w:val="000000" w:themeColor="text1"/>
          <w:sz w:val="24"/>
          <w:szCs w:val="24"/>
        </w:rPr>
        <w:lastRenderedPageBreak/>
        <w:t>Abstract</w:t>
      </w:r>
      <w:r w:rsidR="00EF1E9D" w:rsidRPr="00EF1E9D">
        <w:rPr>
          <w:rFonts w:ascii="Times New Roman" w:hAnsi="Times New Roman" w:cs="Times New Roman"/>
          <w:b/>
          <w:color w:val="000000" w:themeColor="text1"/>
          <w:sz w:val="24"/>
          <w:szCs w:val="24"/>
        </w:rPr>
        <w:t xml:space="preserve"> </w:t>
      </w:r>
    </w:p>
    <w:p w:rsidR="00A24950" w:rsidRPr="00A24950" w:rsidRDefault="00A24950" w:rsidP="00AF70CD">
      <w:pPr>
        <w:pStyle w:val="NoSpacing"/>
        <w:rPr>
          <w:sz w:val="16"/>
          <w:szCs w:val="16"/>
        </w:rPr>
      </w:pPr>
    </w:p>
    <w:p w:rsidR="00EF1E9D" w:rsidRPr="00EF1E9D" w:rsidRDefault="00EF1E9D" w:rsidP="00EF1E9D">
      <w:pPr>
        <w:spacing w:line="360" w:lineRule="auto"/>
        <w:jc w:val="both"/>
        <w:rPr>
          <w:rFonts w:ascii="Times New Roman" w:hAnsi="Times New Roman" w:cs="Times New Roman"/>
          <w:sz w:val="20"/>
          <w:szCs w:val="20"/>
        </w:rPr>
      </w:pPr>
      <w:r w:rsidRPr="00EF1E9D">
        <w:rPr>
          <w:rFonts w:ascii="Times New Roman" w:hAnsi="Times New Roman" w:cs="Times New Roman"/>
          <w:color w:val="000000"/>
          <w:sz w:val="20"/>
          <w:szCs w:val="20"/>
          <w:shd w:val="clear" w:color="auto" w:fill="FFFFFF"/>
        </w:rPr>
        <w:t xml:space="preserve">In past </w:t>
      </w:r>
      <w:proofErr w:type="spellStart"/>
      <w:r w:rsidRPr="00EF1E9D">
        <w:rPr>
          <w:rFonts w:ascii="Times New Roman" w:hAnsi="Times New Roman" w:cs="Times New Roman"/>
          <w:color w:val="000000"/>
          <w:sz w:val="20"/>
          <w:szCs w:val="20"/>
          <w:shd w:val="clear" w:color="auto" w:fill="FFFFFF"/>
        </w:rPr>
        <w:t>nanomedicine</w:t>
      </w:r>
      <w:proofErr w:type="spellEnd"/>
      <w:r w:rsidRPr="00EF1E9D">
        <w:rPr>
          <w:rFonts w:ascii="Times New Roman" w:hAnsi="Times New Roman" w:cs="Times New Roman"/>
          <w:color w:val="000000"/>
          <w:sz w:val="20"/>
          <w:szCs w:val="20"/>
          <w:shd w:val="clear" w:color="auto" w:fill="FFFFFF"/>
        </w:rPr>
        <w:t xml:space="preserve"> has undergone rapid development due to designing of inorganic nanovehicles that can safely reach the targeted organ after passing through various physiological barriers in the human body.</w:t>
      </w:r>
      <w:r w:rsidRPr="00EF1E9D">
        <w:rPr>
          <w:rFonts w:ascii="Times New Roman" w:hAnsi="Times New Roman" w:cs="Times New Roman"/>
          <w:color w:val="000000" w:themeColor="text1"/>
          <w:sz w:val="20"/>
          <w:szCs w:val="20"/>
          <w:shd w:val="clear" w:color="auto" w:fill="FFFFFF"/>
        </w:rPr>
        <w:t xml:space="preserve"> The inorganic materials as a nanocarrier have</w:t>
      </w:r>
      <w:r w:rsidRPr="00EF1E9D">
        <w:rPr>
          <w:rFonts w:ascii="Times New Roman" w:hAnsi="Times New Roman" w:cs="Times New Roman"/>
          <w:color w:val="000000"/>
          <w:sz w:val="20"/>
          <w:szCs w:val="20"/>
          <w:shd w:val="clear" w:color="auto" w:fill="FFFFFF"/>
        </w:rPr>
        <w:t xml:space="preserve"> emerged as promising alternatives to organic systems for a wide range of biomedical applications. Among series of inorganic materials, silica has attracted significant interest because of their unique properties such as hydrophilic surface, highly </w:t>
      </w:r>
      <w:proofErr w:type="gramStart"/>
      <w:r w:rsidRPr="00EF1E9D">
        <w:rPr>
          <w:rFonts w:ascii="Times New Roman" w:hAnsi="Times New Roman" w:cs="Times New Roman"/>
          <w:color w:val="000000"/>
          <w:sz w:val="20"/>
          <w:szCs w:val="20"/>
          <w:shd w:val="clear" w:color="auto" w:fill="FFFFFF"/>
        </w:rPr>
        <w:t>porous ,</w:t>
      </w:r>
      <w:proofErr w:type="gramEnd"/>
      <w:r w:rsidRPr="00EF1E9D">
        <w:rPr>
          <w:rFonts w:ascii="Times New Roman" w:hAnsi="Times New Roman" w:cs="Times New Roman"/>
          <w:color w:val="000000"/>
          <w:sz w:val="20"/>
          <w:szCs w:val="20"/>
          <w:shd w:val="clear" w:color="auto" w:fill="FFFFFF"/>
        </w:rPr>
        <w:t xml:space="preserve"> versatile </w:t>
      </w:r>
      <w:proofErr w:type="spellStart"/>
      <w:r w:rsidRPr="00EF1E9D">
        <w:rPr>
          <w:rFonts w:ascii="Times New Roman" w:hAnsi="Times New Roman" w:cs="Times New Roman"/>
          <w:color w:val="000000"/>
          <w:sz w:val="20"/>
          <w:szCs w:val="20"/>
          <w:shd w:val="clear" w:color="auto" w:fill="FFFFFF"/>
        </w:rPr>
        <w:t>silane</w:t>
      </w:r>
      <w:proofErr w:type="spellEnd"/>
      <w:r w:rsidRPr="00EF1E9D">
        <w:rPr>
          <w:rFonts w:ascii="Times New Roman" w:hAnsi="Times New Roman" w:cs="Times New Roman"/>
          <w:color w:val="000000"/>
          <w:sz w:val="20"/>
          <w:szCs w:val="20"/>
          <w:shd w:val="clear" w:color="auto" w:fill="FFFFFF"/>
        </w:rPr>
        <w:t xml:space="preserve"> chemistry, excellent biocompatibility and ease of low cost of synthesis (Tang et al., 2014). Hydrophobic core is considered as beneficial for drug loading but hydrophilic surface of silica blocks </w:t>
      </w:r>
      <w:proofErr w:type="spellStart"/>
      <w:r w:rsidRPr="00EF1E9D">
        <w:rPr>
          <w:rFonts w:ascii="Times New Roman" w:hAnsi="Times New Roman" w:cs="Times New Roman"/>
          <w:color w:val="000000"/>
          <w:sz w:val="20"/>
          <w:szCs w:val="20"/>
          <w:shd w:val="clear" w:color="auto" w:fill="FFFFFF"/>
        </w:rPr>
        <w:t>opsonization</w:t>
      </w:r>
      <w:proofErr w:type="spellEnd"/>
      <w:r w:rsidRPr="00EF1E9D">
        <w:rPr>
          <w:rFonts w:ascii="Times New Roman" w:hAnsi="Times New Roman" w:cs="Times New Roman"/>
          <w:color w:val="000000"/>
          <w:sz w:val="20"/>
          <w:szCs w:val="20"/>
          <w:shd w:val="clear" w:color="auto" w:fill="FFFFFF"/>
        </w:rPr>
        <w:t xml:space="preserve"> that limits the targeted delivery of drug in the human system. It requires further functionalization of pre synthesized material in order to encapsulate the loaded drug with different targeting species. The present study is planned to</w:t>
      </w:r>
      <w:r w:rsidRPr="00EF1E9D">
        <w:rPr>
          <w:rFonts w:ascii="Times New Roman" w:hAnsi="Times New Roman" w:cs="Times New Roman"/>
          <w:color w:val="000000" w:themeColor="text1"/>
          <w:sz w:val="20"/>
          <w:szCs w:val="20"/>
          <w:shd w:val="clear" w:color="auto" w:fill="FFFFFF"/>
        </w:rPr>
        <w:t xml:space="preserve"> synthesize silica based material and functionalized with titanium and vanadium chloride to enhance its properties. Later on silica materials were loaded with cisplatin drug and further modification with β-cyclodextrin carried out to act as a gatekeeper for the control release of loaded drug. The   material were subjected to different characterization techniques such FTIR, SEM, XPS and XRD.</w:t>
      </w:r>
      <w:r w:rsidRPr="00EF1E9D">
        <w:rPr>
          <w:rFonts w:ascii="Times New Roman" w:hAnsi="Times New Roman" w:cs="Times New Roman"/>
          <w:sz w:val="20"/>
          <w:szCs w:val="20"/>
        </w:rPr>
        <w:t xml:space="preserve"> The formation of  modified and gated silicates was confirmed by the presence of IR peak at  475 cm</w:t>
      </w:r>
      <w:r w:rsidRPr="00EF1E9D">
        <w:rPr>
          <w:rFonts w:ascii="Times New Roman" w:hAnsi="Times New Roman" w:cs="Times New Roman"/>
          <w:sz w:val="20"/>
          <w:szCs w:val="20"/>
          <w:vertAlign w:val="superscript"/>
        </w:rPr>
        <w:t>-1</w:t>
      </w:r>
      <w:r w:rsidRPr="00EF1E9D">
        <w:rPr>
          <w:rFonts w:ascii="Times New Roman" w:hAnsi="Times New Roman" w:cs="Times New Roman"/>
          <w:sz w:val="20"/>
          <w:szCs w:val="20"/>
        </w:rPr>
        <w:t>.Scanning electron microscopy (SEM) image of synthesized product reveals the. The X-ray diffractometry (XRD) pattern reflects the presence of several crystalline peaks and its particle size is 50 nm that can be calculated by Debye Scherer equation.</w:t>
      </w:r>
    </w:p>
    <w:p w:rsidR="00A24950" w:rsidRPr="00EF1E9D" w:rsidRDefault="00A24950" w:rsidP="00A24950">
      <w:pPr>
        <w:rPr>
          <w:rFonts w:ascii="Times New Roman" w:hAnsi="Times New Roman" w:cs="Times New Roman"/>
          <w:b/>
          <w:color w:val="000000" w:themeColor="text1"/>
          <w:sz w:val="24"/>
          <w:szCs w:val="24"/>
        </w:rPr>
      </w:pPr>
      <w:r w:rsidRPr="00EF1E9D">
        <w:rPr>
          <w:rFonts w:ascii="Times New Roman" w:hAnsi="Times New Roman" w:cs="Times New Roman"/>
          <w:b/>
          <w:color w:val="000000" w:themeColor="text1"/>
          <w:sz w:val="24"/>
          <w:szCs w:val="24"/>
        </w:rPr>
        <w:t>Image</w:t>
      </w:r>
    </w:p>
    <w:p w:rsidR="00EF1E9D" w:rsidRPr="00A24950" w:rsidRDefault="00EF1E9D" w:rsidP="00A24950">
      <w:r w:rsidRPr="00EF1E9D">
        <w:rPr>
          <w:b/>
          <w:color w:val="E36C0A" w:themeColor="accent6" w:themeShade="BF"/>
        </w:rPr>
        <w:drawing>
          <wp:inline distT="0" distB="0" distL="0" distR="0">
            <wp:extent cx="2501829" cy="1643831"/>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a:srcRect/>
                    <a:stretch>
                      <a:fillRect/>
                    </a:stretch>
                  </pic:blipFill>
                  <pic:spPr bwMode="auto">
                    <a:xfrm>
                      <a:off x="0" y="0"/>
                      <a:ext cx="2505839" cy="1646465"/>
                    </a:xfrm>
                    <a:prstGeom prst="rect">
                      <a:avLst/>
                    </a:prstGeom>
                    <a:noFill/>
                    <a:ln w="9525">
                      <a:noFill/>
                      <a:miter lim="800000"/>
                      <a:headEnd/>
                      <a:tailEnd/>
                    </a:ln>
                  </pic:spPr>
                </pic:pic>
              </a:graphicData>
            </a:graphic>
          </wp:inline>
        </w:drawing>
      </w:r>
    </w:p>
    <w:p w:rsidR="002206AE" w:rsidRDefault="00A24950" w:rsidP="00A24950">
      <w:pPr>
        <w:rPr>
          <w:sz w:val="16"/>
          <w:szCs w:val="16"/>
        </w:rPr>
      </w:pPr>
      <w:proofErr w:type="gramStart"/>
      <w:r w:rsidRPr="00A24950">
        <w:rPr>
          <w:sz w:val="16"/>
          <w:szCs w:val="16"/>
        </w:rPr>
        <w:t>Figu</w:t>
      </w:r>
      <w:r w:rsidR="002206AE">
        <w:rPr>
          <w:sz w:val="16"/>
          <w:szCs w:val="16"/>
        </w:rPr>
        <w:t>re  1</w:t>
      </w:r>
      <w:proofErr w:type="gramEnd"/>
      <w:r w:rsidR="002206AE">
        <w:rPr>
          <w:sz w:val="16"/>
          <w:szCs w:val="16"/>
        </w:rPr>
        <w:t xml:space="preserve">. Release % age of cisplatin </w:t>
      </w:r>
    </w:p>
    <w:p w:rsidR="00A24950" w:rsidRPr="002206AE" w:rsidRDefault="00A24950" w:rsidP="00A24950">
      <w:pPr>
        <w:rPr>
          <w:color w:val="000000" w:themeColor="text1"/>
          <w:sz w:val="16"/>
          <w:szCs w:val="16"/>
        </w:rPr>
      </w:pPr>
      <w:r w:rsidRPr="002206AE">
        <w:rPr>
          <w:b/>
          <w:color w:val="000000" w:themeColor="text1"/>
        </w:rPr>
        <w:t xml:space="preserve">Recent Publications </w:t>
      </w:r>
    </w:p>
    <w:p w:rsidR="00A24950" w:rsidRPr="006C20EF" w:rsidRDefault="00EF1E9D" w:rsidP="00A24950">
      <w:pPr>
        <w:pStyle w:val="ListParagraph"/>
        <w:numPr>
          <w:ilvl w:val="0"/>
          <w:numId w:val="1"/>
        </w:numPr>
        <w:tabs>
          <w:tab w:val="left" w:pos="384"/>
        </w:tabs>
        <w:ind w:right="115"/>
        <w:rPr>
          <w:sz w:val="16"/>
          <w:szCs w:val="16"/>
        </w:rPr>
      </w:pPr>
      <w:r>
        <w:rPr>
          <w:rFonts w:ascii="Arial" w:hAnsi="Arial" w:cs="Arial"/>
          <w:color w:val="222222"/>
          <w:sz w:val="15"/>
          <w:szCs w:val="15"/>
          <w:shd w:val="clear" w:color="auto" w:fill="FFFFFF"/>
        </w:rPr>
        <w:t>Tariq, F and   Rafique, U. (2015). Synthesis of Agro-based Copolymers for Treatment of Waste.</w:t>
      </w:r>
      <w:r w:rsidR="006C20EF">
        <w:rPr>
          <w:rFonts w:ascii="Arial" w:hAnsi="Arial" w:cs="Arial"/>
          <w:color w:val="222222"/>
          <w:sz w:val="15"/>
          <w:szCs w:val="15"/>
          <w:shd w:val="clear" w:color="auto" w:fill="FFFFFF"/>
        </w:rPr>
        <w:t xml:space="preserve"> </w:t>
      </w:r>
    </w:p>
    <w:p w:rsidR="006C20EF" w:rsidRPr="006C20EF" w:rsidRDefault="006C20EF" w:rsidP="00A24950">
      <w:pPr>
        <w:pStyle w:val="ListParagraph"/>
        <w:numPr>
          <w:ilvl w:val="0"/>
          <w:numId w:val="1"/>
        </w:numPr>
        <w:tabs>
          <w:tab w:val="left" w:pos="384"/>
        </w:tabs>
        <w:ind w:right="115"/>
        <w:rPr>
          <w:sz w:val="16"/>
          <w:szCs w:val="16"/>
        </w:rPr>
      </w:pPr>
      <w:proofErr w:type="spellStart"/>
      <w:r>
        <w:rPr>
          <w:rFonts w:ascii="Arial" w:hAnsi="Arial" w:cs="Arial"/>
          <w:color w:val="222222"/>
          <w:sz w:val="15"/>
          <w:szCs w:val="15"/>
          <w:shd w:val="clear" w:color="auto" w:fill="FFFFFF"/>
        </w:rPr>
        <w:t>Zulfiqar</w:t>
      </w:r>
      <w:proofErr w:type="spellEnd"/>
      <w:r>
        <w:rPr>
          <w:rFonts w:ascii="Arial" w:hAnsi="Arial" w:cs="Arial"/>
          <w:color w:val="222222"/>
          <w:sz w:val="15"/>
          <w:szCs w:val="15"/>
          <w:shd w:val="clear" w:color="auto" w:fill="FFFFFF"/>
        </w:rPr>
        <w:t xml:space="preserve">, S., Tariq, F., </w:t>
      </w:r>
      <w:proofErr w:type="spellStart"/>
      <w:r>
        <w:rPr>
          <w:rFonts w:ascii="Arial" w:hAnsi="Arial" w:cs="Arial"/>
          <w:color w:val="222222"/>
          <w:sz w:val="15"/>
          <w:szCs w:val="15"/>
          <w:shd w:val="clear" w:color="auto" w:fill="FFFFFF"/>
        </w:rPr>
        <w:t>Perveen</w:t>
      </w:r>
      <w:proofErr w:type="spellEnd"/>
      <w:r>
        <w:rPr>
          <w:rFonts w:ascii="Arial" w:hAnsi="Arial" w:cs="Arial"/>
          <w:color w:val="222222"/>
          <w:sz w:val="15"/>
          <w:szCs w:val="15"/>
          <w:shd w:val="clear" w:color="auto" w:fill="FFFFFF"/>
        </w:rPr>
        <w:t xml:space="preserve">, K., Ayub, N., </w:t>
      </w:r>
      <w:proofErr w:type="spellStart"/>
      <w:r>
        <w:rPr>
          <w:rFonts w:ascii="Arial" w:hAnsi="Arial" w:cs="Arial"/>
          <w:color w:val="222222"/>
          <w:sz w:val="15"/>
          <w:szCs w:val="15"/>
          <w:shd w:val="clear" w:color="auto" w:fill="FFFFFF"/>
        </w:rPr>
        <w:t>Mansab</w:t>
      </w:r>
      <w:proofErr w:type="spellEnd"/>
      <w:r>
        <w:rPr>
          <w:rFonts w:ascii="Arial" w:hAnsi="Arial" w:cs="Arial"/>
          <w:color w:val="222222"/>
          <w:sz w:val="15"/>
          <w:szCs w:val="15"/>
          <w:shd w:val="clear" w:color="auto" w:fill="FFFFFF"/>
        </w:rPr>
        <w:t xml:space="preserve">, S., </w:t>
      </w:r>
      <w:proofErr w:type="spellStart"/>
      <w:r>
        <w:rPr>
          <w:rFonts w:ascii="Arial" w:hAnsi="Arial" w:cs="Arial"/>
          <w:color w:val="222222"/>
          <w:sz w:val="15"/>
          <w:szCs w:val="15"/>
          <w:shd w:val="clear" w:color="auto" w:fill="FFFFFF"/>
        </w:rPr>
        <w:t>Batool</w:t>
      </w:r>
      <w:proofErr w:type="spellEnd"/>
      <w:r>
        <w:rPr>
          <w:rFonts w:ascii="Arial" w:hAnsi="Arial" w:cs="Arial"/>
          <w:color w:val="222222"/>
          <w:sz w:val="15"/>
          <w:szCs w:val="15"/>
          <w:shd w:val="clear" w:color="auto" w:fill="FFFFFF"/>
        </w:rPr>
        <w:t>, S. Q</w:t>
      </w:r>
      <w:proofErr w:type="gramStart"/>
      <w:r>
        <w:rPr>
          <w:rFonts w:ascii="Arial" w:hAnsi="Arial" w:cs="Arial"/>
          <w:color w:val="222222"/>
          <w:sz w:val="15"/>
          <w:szCs w:val="15"/>
          <w:shd w:val="clear" w:color="auto" w:fill="FFFFFF"/>
        </w:rPr>
        <w:t>., ...</w:t>
      </w:r>
      <w:proofErr w:type="gramEnd"/>
      <w:r>
        <w:rPr>
          <w:rFonts w:ascii="Arial" w:hAnsi="Arial" w:cs="Arial"/>
          <w:color w:val="222222"/>
          <w:sz w:val="15"/>
          <w:szCs w:val="15"/>
          <w:shd w:val="clear" w:color="auto" w:fill="FFFFFF"/>
        </w:rPr>
        <w:t xml:space="preserve"> &amp; </w:t>
      </w:r>
      <w:proofErr w:type="spellStart"/>
      <w:r>
        <w:rPr>
          <w:rFonts w:ascii="Arial" w:hAnsi="Arial" w:cs="Arial"/>
          <w:color w:val="222222"/>
          <w:sz w:val="15"/>
          <w:szCs w:val="15"/>
          <w:shd w:val="clear" w:color="auto" w:fill="FFFFFF"/>
        </w:rPr>
        <w:t>Tabassum</w:t>
      </w:r>
      <w:proofErr w:type="spellEnd"/>
      <w:r>
        <w:rPr>
          <w:rFonts w:ascii="Arial" w:hAnsi="Arial" w:cs="Arial"/>
          <w:color w:val="222222"/>
          <w:sz w:val="15"/>
          <w:szCs w:val="15"/>
          <w:shd w:val="clear" w:color="auto" w:fill="FFFFFF"/>
        </w:rPr>
        <w:t xml:space="preserve">, N. (2015). </w:t>
      </w:r>
      <w:proofErr w:type="spellStart"/>
      <w:r>
        <w:rPr>
          <w:rFonts w:ascii="Arial" w:hAnsi="Arial" w:cs="Arial"/>
          <w:color w:val="222222"/>
          <w:sz w:val="15"/>
          <w:szCs w:val="15"/>
          <w:shd w:val="clear" w:color="auto" w:fill="FFFFFF"/>
        </w:rPr>
        <w:t>Mycotoxins</w:t>
      </w:r>
      <w:proofErr w:type="spellEnd"/>
      <w:r>
        <w:rPr>
          <w:rFonts w:ascii="Arial" w:hAnsi="Arial" w:cs="Arial"/>
          <w:color w:val="222222"/>
          <w:sz w:val="15"/>
          <w:szCs w:val="15"/>
          <w:shd w:val="clear" w:color="auto" w:fill="FFFFFF"/>
        </w:rPr>
        <w:t xml:space="preserve"> Analysis in Fresh and Dry Fruits from Pakistan-A Review.</w:t>
      </w:r>
    </w:p>
    <w:p w:rsidR="006C20EF" w:rsidRPr="006C20EF" w:rsidRDefault="006C20EF" w:rsidP="00A24950">
      <w:pPr>
        <w:pStyle w:val="ListParagraph"/>
        <w:numPr>
          <w:ilvl w:val="0"/>
          <w:numId w:val="1"/>
        </w:numPr>
        <w:tabs>
          <w:tab w:val="left" w:pos="384"/>
        </w:tabs>
        <w:ind w:right="115"/>
        <w:rPr>
          <w:sz w:val="16"/>
          <w:szCs w:val="16"/>
        </w:rPr>
      </w:pPr>
      <w:r>
        <w:rPr>
          <w:rFonts w:ascii="Arial" w:hAnsi="Arial" w:cs="Arial"/>
          <w:color w:val="222222"/>
          <w:sz w:val="15"/>
          <w:szCs w:val="15"/>
          <w:shd w:val="clear" w:color="auto" w:fill="FFFFFF"/>
        </w:rPr>
        <w:t>File a patent entitled</w:t>
      </w:r>
    </w:p>
    <w:p w:rsidR="002206AE" w:rsidRDefault="00A17DE4" w:rsidP="002206AE">
      <w:pPr>
        <w:pStyle w:val="ListParagraph"/>
        <w:numPr>
          <w:ilvl w:val="0"/>
          <w:numId w:val="1"/>
        </w:numPr>
        <w:tabs>
          <w:tab w:val="left" w:pos="384"/>
        </w:tabs>
        <w:ind w:right="115"/>
        <w:rPr>
          <w:b/>
          <w:sz w:val="16"/>
          <w:szCs w:val="16"/>
        </w:rPr>
      </w:pPr>
      <w:r>
        <w:rPr>
          <w:sz w:val="16"/>
          <w:szCs w:val="16"/>
        </w:rPr>
        <w:lastRenderedPageBreak/>
        <w:t xml:space="preserve">Publish a manual on </w:t>
      </w:r>
      <w:r w:rsidRPr="00A17DE4">
        <w:rPr>
          <w:b/>
          <w:sz w:val="16"/>
          <w:szCs w:val="16"/>
        </w:rPr>
        <w:t>ANALYTICAL TECHNIQUE FOR DETECTION AND QUANTIFICATION OF MYCOTOXINS</w:t>
      </w:r>
      <w:r>
        <w:rPr>
          <w:b/>
          <w:sz w:val="16"/>
          <w:szCs w:val="16"/>
        </w:rPr>
        <w:t xml:space="preserve"> (2015)</w:t>
      </w:r>
    </w:p>
    <w:p w:rsidR="00A24950" w:rsidRPr="002206AE" w:rsidRDefault="002206AE" w:rsidP="002206AE">
      <w:pPr>
        <w:pStyle w:val="ListParagraph"/>
        <w:numPr>
          <w:ilvl w:val="0"/>
          <w:numId w:val="1"/>
        </w:numPr>
        <w:tabs>
          <w:tab w:val="left" w:pos="384"/>
        </w:tabs>
        <w:ind w:right="115"/>
        <w:rPr>
          <w:b/>
          <w:sz w:val="20"/>
          <w:szCs w:val="20"/>
        </w:rPr>
        <w:sectPr w:rsidR="00A24950" w:rsidRPr="002206AE" w:rsidSect="00A24950">
          <w:type w:val="continuous"/>
          <w:pgSz w:w="12240" w:h="15840"/>
          <w:pgMar w:top="1440" w:right="1440" w:bottom="1440" w:left="1440" w:header="720" w:footer="720" w:gutter="0"/>
          <w:cols w:space="720"/>
          <w:docGrid w:linePitch="360"/>
        </w:sectPr>
      </w:pPr>
      <w:r w:rsidRPr="002206AE">
        <w:rPr>
          <w:rFonts w:cs="Times New Roman"/>
          <w:sz w:val="20"/>
          <w:szCs w:val="20"/>
        </w:rPr>
        <w:t xml:space="preserve">Adsorption </w:t>
      </w:r>
      <w:proofErr w:type="spellStart"/>
      <w:r w:rsidRPr="002206AE">
        <w:rPr>
          <w:rFonts w:cs="Times New Roman"/>
          <w:sz w:val="20"/>
          <w:szCs w:val="20"/>
        </w:rPr>
        <w:t>behaviour</w:t>
      </w:r>
      <w:proofErr w:type="spellEnd"/>
      <w:r w:rsidRPr="002206AE">
        <w:rPr>
          <w:rFonts w:cs="Times New Roman"/>
          <w:sz w:val="20"/>
          <w:szCs w:val="20"/>
        </w:rPr>
        <w:t xml:space="preserve"> of synthesized copolymer towards the removal of heavy metals: </w:t>
      </w:r>
      <w:hyperlink r:id="rId7" w:history="1">
        <w:r w:rsidRPr="002206AE">
          <w:rPr>
            <w:rStyle w:val="Hyperlink"/>
            <w:rFonts w:eastAsia="Tw Cen MT" w:cs="Times New Roman"/>
            <w:color w:val="000000" w:themeColor="text1"/>
            <w:sz w:val="20"/>
            <w:szCs w:val="20"/>
            <w:u w:val="none"/>
          </w:rPr>
          <w:t>kinetic</w:t>
        </w:r>
        <w:r w:rsidRPr="002206AE">
          <w:rPr>
            <w:rStyle w:val="apple-converted-space"/>
            <w:rFonts w:cs="Times New Roman"/>
            <w:color w:val="000000" w:themeColor="text1"/>
            <w:sz w:val="20"/>
            <w:szCs w:val="20"/>
          </w:rPr>
          <w:t> </w:t>
        </w:r>
        <w:r w:rsidRPr="002206AE">
          <w:rPr>
            <w:rStyle w:val="Hyperlink"/>
            <w:rFonts w:eastAsia="Tw Cen MT" w:cs="Times New Roman"/>
            <w:color w:val="000000" w:themeColor="text1"/>
            <w:sz w:val="20"/>
            <w:szCs w:val="20"/>
            <w:u w:val="none"/>
          </w:rPr>
          <w:t>and thermodynamic studies</w:t>
        </w:r>
      </w:hyperlink>
      <w:r>
        <w:rPr>
          <w:rFonts w:cs="Times New Roman"/>
          <w:sz w:val="20"/>
          <w:szCs w:val="20"/>
        </w:rPr>
        <w:t>.</w:t>
      </w: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8F3E9B" w:rsidRDefault="002206AE"/>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C651F"/>
    <w:rsid w:val="002164DD"/>
    <w:rsid w:val="002206AE"/>
    <w:rsid w:val="006C20EF"/>
    <w:rsid w:val="00905A50"/>
    <w:rsid w:val="009229C5"/>
    <w:rsid w:val="009D06C1"/>
    <w:rsid w:val="00A17DE4"/>
    <w:rsid w:val="00A24950"/>
    <w:rsid w:val="00AF70CD"/>
    <w:rsid w:val="00EC651F"/>
    <w:rsid w:val="00EF1E9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4DD"/>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semiHidden/>
    <w:unhideWhenUsed/>
    <w:qFormat/>
    <w:rsid w:val="002206AE"/>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 w:type="character" w:customStyle="1" w:styleId="Heading3Char">
    <w:name w:val="Heading 3 Char"/>
    <w:basedOn w:val="DefaultParagraphFont"/>
    <w:link w:val="Heading3"/>
    <w:uiPriority w:val="9"/>
    <w:semiHidden/>
    <w:rsid w:val="002206AE"/>
    <w:rPr>
      <w:rFonts w:ascii="Times New Roman" w:eastAsia="Times New Roman" w:hAnsi="Times New Roman" w:cs="Times New Roman"/>
      <w:b/>
      <w:bCs/>
      <w:sz w:val="27"/>
      <w:szCs w:val="27"/>
      <w:lang w:val="en-GB" w:eastAsia="en-GB"/>
    </w:rPr>
  </w:style>
  <w:style w:type="character" w:customStyle="1" w:styleId="apple-converted-space">
    <w:name w:val="apple-converted-space"/>
    <w:basedOn w:val="DefaultParagraphFont"/>
    <w:rsid w:val="002206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ciencedirect.com/science/article/pii/S03017516150011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BE1AE-1F7D-4E55-916A-756A2D57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fatima tariq</cp:lastModifiedBy>
  <cp:revision>2</cp:revision>
  <dcterms:created xsi:type="dcterms:W3CDTF">2017-10-17T07:39:00Z</dcterms:created>
  <dcterms:modified xsi:type="dcterms:W3CDTF">2017-10-17T07:39:00Z</dcterms:modified>
</cp:coreProperties>
</file>