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074A6" w14:textId="507D1713" w:rsidR="00AE3E37" w:rsidRDefault="00C56F83" w:rsidP="00494130">
      <w:pPr>
        <w:pStyle w:val="Heading1"/>
        <w:spacing w:before="170"/>
        <w:ind w:left="0"/>
      </w:pPr>
      <w:r w:rsidRPr="00C56F83">
        <w:rPr>
          <w:color w:val="337AB7"/>
        </w:rPr>
        <w:t>Efficacy and Safety of the Bedaquiline-Pretomanid-Linezolid Regimen in the Treatment of Drug-Resistant Tuberculosis: A Retrospective Analysi</w:t>
      </w:r>
      <w:r>
        <w:rPr>
          <w:color w:val="337AB7"/>
        </w:rPr>
        <w:t xml:space="preserve">s </w:t>
      </w:r>
    </w:p>
    <w:p w14:paraId="685074A8" w14:textId="686CE76D" w:rsidR="005973B9" w:rsidRDefault="008A7CCE" w:rsidP="008A7CCE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Mr.</w:t>
      </w:r>
      <w:r w:rsidR="00CE170C">
        <w:rPr>
          <w:rFonts w:ascii="Arial"/>
        </w:rPr>
        <w:t xml:space="preserve"> Pramod Yadav</w:t>
      </w:r>
      <w:r w:rsidR="005973B9">
        <w:rPr>
          <w:rFonts w:ascii="Arial"/>
        </w:rPr>
        <w:t xml:space="preserve">, </w:t>
      </w:r>
      <w:r w:rsidR="00CE170C">
        <w:rPr>
          <w:rFonts w:ascii="Arial"/>
        </w:rPr>
        <w:t>AFAF research Assistant</w:t>
      </w:r>
      <w:r w:rsidR="005973B9">
        <w:rPr>
          <w:rFonts w:ascii="Arial"/>
        </w:rPr>
        <w:t xml:space="preserve">, </w:t>
      </w:r>
      <w:r>
        <w:rPr>
          <w:rFonts w:ascii="Arial"/>
        </w:rPr>
        <w:t>Amity University Noida, India</w:t>
      </w:r>
    </w:p>
    <w:p w14:paraId="7F5ED767" w14:textId="77777777" w:rsidR="004729CC" w:rsidRDefault="004729CC">
      <w:pPr>
        <w:rPr>
          <w:rFonts w:ascii="Arial"/>
          <w:sz w:val="21"/>
        </w:rPr>
      </w:pPr>
    </w:p>
    <w:p w14:paraId="685074AB" w14:textId="6A594FFF" w:rsidR="004729CC" w:rsidRDefault="004729CC">
      <w:pPr>
        <w:rPr>
          <w:rFonts w:ascii="Arial"/>
          <w:sz w:val="21"/>
        </w:rPr>
        <w:sectPr w:rsidR="004729C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85074AC" w14:textId="76BB0F0B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85074AD" w14:textId="318F0E40" w:rsidR="00AE3E37" w:rsidRDefault="00A9710C">
      <w:pPr>
        <w:pStyle w:val="BodyText"/>
        <w:spacing w:before="90" w:line="280" w:lineRule="auto"/>
        <w:ind w:left="100"/>
        <w:jc w:val="both"/>
      </w:pPr>
      <w:r w:rsidRPr="008A7CCE">
        <w:rPr>
          <w:b/>
          <w:bCs/>
        </w:rPr>
        <w:t>Statement of the Problem:</w:t>
      </w:r>
      <w:r w:rsidR="008A7CCE" w:rsidRPr="008A7CCE">
        <w:t xml:space="preserve"> Drug-resistant tuberculosis (DR-TB) is still a significant global health threat. The appearance of MDR (multidrug-resistant) and XDR (extensively drug-resistant) forms of TB has made treating DR TB more challenging. The World Health Organization (WHO) recommends a combination of at least four drugs for the treatment of MDR-TB, with a treatment duration of at least 20 months. However, long treatment duration, high pill burden, and toxicities are major challenges in the management of DR-TB. The bedaquiline-pretomanid-linezolid (BPL) regimen is a promising new treatment option for DR-TB that has shown high rates of success and minimal toxicities.</w:t>
      </w:r>
      <w:r w:rsidR="008A7CCE">
        <w:t xml:space="preserve"> </w:t>
      </w:r>
      <w:r w:rsidRPr="008A7CCE">
        <w:rPr>
          <w:b/>
          <w:bCs/>
        </w:rPr>
        <w:t>Methodolog</w:t>
      </w:r>
      <w:r w:rsidR="0078738A" w:rsidRPr="008A7CCE">
        <w:rPr>
          <w:b/>
          <w:bCs/>
        </w:rPr>
        <w:t>y &amp; Theoretical Orientation:</w:t>
      </w:r>
      <w:r w:rsidR="0078738A">
        <w:t xml:space="preserve"> </w:t>
      </w:r>
      <w:r w:rsidR="00A81EE6" w:rsidRPr="00A81EE6">
        <w:t>A study looking back at earlier cases was performed on a group of individuals suffering from DR-TB who received treatment using the BPL regimen. The study included patients with MDR-TB and XDR-TB, and the treatment duration was 6 months. The primary outcome measures were culture conversion rate, treatment success rate, and safety profile. Adverse events were also monitored.</w:t>
      </w:r>
      <w:r>
        <w:t xml:space="preserve"> </w:t>
      </w:r>
      <w:r w:rsidRPr="00A81EE6">
        <w:rPr>
          <w:b/>
          <w:bCs/>
        </w:rPr>
        <w:t>Findings</w:t>
      </w:r>
      <w:r>
        <w:t xml:space="preserve">: </w:t>
      </w:r>
      <w:r w:rsidR="00623DCE" w:rsidRPr="00623DCE">
        <w:t>The culture conversion rate was 93.3%, and the treatment success rate was 89.7%. Most adverse events were minor, with only a small percentage of patients (2.3%) experiencing severe events of grade 3 or higher. The most common adverse events were nausea and vomiting, which occurred in 2.3% and 1.4% of patients, respectively. Furthermore, there were no fatalities that were attributed to the treatment.</w:t>
      </w:r>
      <w:r>
        <w:t xml:space="preserve"> </w:t>
      </w:r>
      <w:r w:rsidRPr="00623DCE">
        <w:rPr>
          <w:b/>
          <w:bCs/>
        </w:rPr>
        <w:t>Conclusion &amp; Significance:</w:t>
      </w:r>
      <w:r>
        <w:t xml:space="preserve"> </w:t>
      </w:r>
      <w:r w:rsidR="00623DCE" w:rsidRPr="00623DCE">
        <w:t>The BPL regimen is a highly effective and well-tolerated treatment possibility for DR-TB. These results support the use of BPL as a first-line therapy for DR-TB. The shortened treatment duration and lower pill burden of the BPL regimen make it more feasible for patients, especially in resource-limited settings. Further studies are needed to confirm these findings in larger and more diverse populations and to evaluate the long-term outcomes of the BPL regimen. In addition, the cost-effectiveness of the BPL regimen needs to be evaluated and compared to other DR-TB regimens.</w:t>
      </w:r>
    </w:p>
    <w:p w14:paraId="11928CAE" w14:textId="52D6194D" w:rsidR="00623DCE" w:rsidRDefault="00623DCE">
      <w:pPr>
        <w:pStyle w:val="BodyText"/>
        <w:spacing w:before="90" w:line="280" w:lineRule="auto"/>
        <w:ind w:left="100"/>
        <w:jc w:val="both"/>
      </w:pPr>
    </w:p>
    <w:p w14:paraId="685074AE" w14:textId="7A9581F3" w:rsidR="00AE3E37" w:rsidRDefault="00623DCE" w:rsidP="00B91DC4">
      <w:pPr>
        <w:pStyle w:val="Heading3"/>
        <w:spacing w:before="74" w:after="120"/>
        <w:ind w:left="102"/>
      </w:pPr>
      <w:r>
        <w:rPr>
          <w:noProof/>
          <w:color w:val="BF5A14"/>
        </w:rPr>
        <w:drawing>
          <wp:anchor distT="0" distB="0" distL="114300" distR="114300" simplePos="0" relativeHeight="251662336" behindDoc="0" locked="0" layoutInCell="1" allowOverlap="1" wp14:anchorId="7C462030" wp14:editId="7D69B5DE">
            <wp:simplePos x="0" y="0"/>
            <wp:positionH relativeFrom="column">
              <wp:posOffset>152400</wp:posOffset>
            </wp:positionH>
            <wp:positionV relativeFrom="paragraph">
              <wp:posOffset>154940</wp:posOffset>
            </wp:positionV>
            <wp:extent cx="508000" cy="673987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73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62CAEB9" w14:textId="77777777" w:rsidR="00B91DC4" w:rsidRDefault="00014033" w:rsidP="00B91DC4">
      <w:pPr>
        <w:pStyle w:val="BodyText"/>
        <w:keepNext/>
        <w:spacing w:before="2"/>
        <w:jc w:val="right"/>
      </w:pPr>
      <w:r>
        <w:rPr>
          <w:noProof/>
          <w:lang w:val="en-IN" w:eastAsia="en-IN"/>
        </w:rPr>
        <w:drawing>
          <wp:inline distT="0" distB="0" distL="0" distR="0" wp14:anchorId="2732B564" wp14:editId="075E722F">
            <wp:extent cx="3315970" cy="2044700"/>
            <wp:effectExtent l="0" t="0" r="0" b="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322" cy="205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74AF" w14:textId="700DE5BF" w:rsidR="00AE3E37" w:rsidRPr="00B91DC4" w:rsidRDefault="00B91DC4" w:rsidP="00B91DC4">
      <w:pPr>
        <w:pStyle w:val="Caption"/>
        <w:rPr>
          <w:rFonts w:ascii="Arial"/>
          <w:b/>
          <w:bCs/>
          <w:color w:val="auto"/>
          <w:sz w:val="16"/>
        </w:rPr>
      </w:pPr>
      <w:r w:rsidRPr="00B91DC4">
        <w:rPr>
          <w:b/>
          <w:bCs/>
          <w:color w:val="auto"/>
        </w:rPr>
        <w:t xml:space="preserve">Figure </w:t>
      </w:r>
      <w:r w:rsidRPr="00B91DC4">
        <w:rPr>
          <w:b/>
          <w:bCs/>
          <w:color w:val="auto"/>
        </w:rPr>
        <w:fldChar w:fldCharType="begin"/>
      </w:r>
      <w:r w:rsidRPr="00B91DC4">
        <w:rPr>
          <w:b/>
          <w:bCs/>
          <w:color w:val="auto"/>
        </w:rPr>
        <w:instrText xml:space="preserve"> SEQ Figure \* ARABIC </w:instrText>
      </w:r>
      <w:r w:rsidRPr="00B91DC4">
        <w:rPr>
          <w:b/>
          <w:bCs/>
          <w:color w:val="auto"/>
        </w:rPr>
        <w:fldChar w:fldCharType="separate"/>
      </w:r>
      <w:r w:rsidR="008E29CF">
        <w:rPr>
          <w:b/>
          <w:bCs/>
          <w:noProof/>
          <w:color w:val="auto"/>
        </w:rPr>
        <w:t>1</w:t>
      </w:r>
      <w:r w:rsidRPr="00B91DC4">
        <w:rPr>
          <w:b/>
          <w:bCs/>
          <w:color w:val="auto"/>
        </w:rPr>
        <w:fldChar w:fldCharType="end"/>
      </w:r>
      <w:r w:rsidRPr="00B91DC4">
        <w:rPr>
          <w:b/>
          <w:bCs/>
          <w:color w:val="auto"/>
        </w:rPr>
        <w:t xml:space="preserve">. </w:t>
      </w:r>
      <w:r w:rsidRPr="00B91DC4">
        <w:rPr>
          <w:color w:val="auto"/>
        </w:rPr>
        <w:t xml:space="preserve">Cast of </w:t>
      </w:r>
      <w:proofErr w:type="spellStart"/>
      <w:r w:rsidRPr="00B91DC4">
        <w:rPr>
          <w:color w:val="auto"/>
        </w:rPr>
        <w:t>BPaL</w:t>
      </w:r>
      <w:proofErr w:type="spellEnd"/>
      <w:r w:rsidRPr="00B91DC4">
        <w:rPr>
          <w:color w:val="auto"/>
        </w:rPr>
        <w:t xml:space="preserve"> treatment in the </w:t>
      </w:r>
      <w:proofErr w:type="gramStart"/>
      <w:r w:rsidRPr="00B91DC4">
        <w:rPr>
          <w:color w:val="auto"/>
        </w:rPr>
        <w:t>united states</w:t>
      </w:r>
      <w:proofErr w:type="gramEnd"/>
      <w:r w:rsidRPr="00B91DC4">
        <w:rPr>
          <w:color w:val="auto"/>
        </w:rPr>
        <w:t xml:space="preserve"> (Christiaan Mulder et al. BMJ Glob Health 2022;7: e007182)</w:t>
      </w:r>
    </w:p>
    <w:p w14:paraId="685074B0" w14:textId="4D54E173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685074B1" w14:textId="637B4C1F" w:rsidR="005973B9" w:rsidRDefault="0000785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Yadav, P. (2023) </w:t>
      </w:r>
      <w:r w:rsidR="004A6E21" w:rsidRPr="004A6E21">
        <w:rPr>
          <w:sz w:val="18"/>
        </w:rPr>
        <w:t>Challenges &amp; Solutions for Recent Advancements in Multi-Drugs Resistance Tuberculosis: A Review</w:t>
      </w:r>
      <w:r w:rsidR="00564967">
        <w:rPr>
          <w:sz w:val="18"/>
        </w:rPr>
        <w:t xml:space="preserve">. </w:t>
      </w:r>
      <w:r w:rsidR="00564967">
        <w:rPr>
          <w:i/>
          <w:iCs/>
          <w:sz w:val="18"/>
        </w:rPr>
        <w:t xml:space="preserve">Microbiology Insights </w:t>
      </w:r>
      <w:r w:rsidR="00564967">
        <w:rPr>
          <w:sz w:val="18"/>
        </w:rPr>
        <w:t>16</w:t>
      </w:r>
      <w:r w:rsidR="005973B9" w:rsidRPr="005973B9">
        <w:rPr>
          <w:sz w:val="18"/>
        </w:rPr>
        <w:t>:1</w:t>
      </w:r>
      <w:r w:rsidR="00564967">
        <w:rPr>
          <w:sz w:val="18"/>
        </w:rPr>
        <w:t>-9</w:t>
      </w:r>
      <w:r w:rsidR="005973B9" w:rsidRPr="005973B9">
        <w:rPr>
          <w:sz w:val="18"/>
        </w:rPr>
        <w:t>.</w:t>
      </w:r>
      <w:r w:rsidR="00013C5A">
        <w:rPr>
          <w:sz w:val="18"/>
        </w:rPr>
        <w:t xml:space="preserve"> </w:t>
      </w:r>
      <w:hyperlink r:id="rId11" w:history="1">
        <w:r w:rsidR="00013C5A" w:rsidRPr="008B44C1">
          <w:rPr>
            <w:rStyle w:val="Hyperlink"/>
            <w:sz w:val="18"/>
          </w:rPr>
          <w:t>https://doi.org/10.1177/11786361231152438</w:t>
        </w:r>
      </w:hyperlink>
      <w:r w:rsidR="00013C5A">
        <w:rPr>
          <w:sz w:val="18"/>
        </w:rPr>
        <w:t xml:space="preserve"> </w:t>
      </w:r>
    </w:p>
    <w:p w14:paraId="368D83C2" w14:textId="6F3D5974" w:rsidR="00A257CD" w:rsidRDefault="00015F2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15F26">
        <w:rPr>
          <w:sz w:val="18"/>
        </w:rPr>
        <w:t xml:space="preserve">Yadav, P., &amp; Raghuvanshi, V. (2019). Recent Advances in Alzheimer’s Disease Treatment. National Conference on Frontiers in Environment, </w:t>
      </w:r>
      <w:proofErr w:type="gramStart"/>
      <w:r w:rsidRPr="00015F26">
        <w:rPr>
          <w:sz w:val="18"/>
        </w:rPr>
        <w:t>Health</w:t>
      </w:r>
      <w:proofErr w:type="gramEnd"/>
      <w:r w:rsidRPr="00015F26">
        <w:rPr>
          <w:sz w:val="18"/>
        </w:rPr>
        <w:t xml:space="preserve"> and Biosciences, 86.</w:t>
      </w:r>
    </w:p>
    <w:p w14:paraId="3303BF18" w14:textId="2BFE0BFE" w:rsidR="0065370E" w:rsidRPr="00743CF4" w:rsidRDefault="0065370E" w:rsidP="00743CF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5370E">
        <w:rPr>
          <w:sz w:val="18"/>
        </w:rPr>
        <w:t>Yadav, P. (2021). Production of Polyclonal Antibody in The Rabbit (Oryctolagus Cuniculus), Its Isolation &amp; Quantification [Dissertation]. Chhatrapati Shahu Ji Maharaj University Kanpur Utter Pradesh India.</w:t>
      </w:r>
    </w:p>
    <w:p w14:paraId="685074B7" w14:textId="4FBD64F3" w:rsidR="00AE3E37" w:rsidRPr="008756E6" w:rsidRDefault="00AE3E37" w:rsidP="008756E6">
      <w:pPr>
        <w:tabs>
          <w:tab w:val="left" w:pos="384"/>
        </w:tabs>
        <w:ind w:right="117"/>
      </w:pPr>
    </w:p>
    <w:p w14:paraId="685074B8" w14:textId="2A6453BB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85074B9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85074B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85074C7" wp14:editId="685074C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1AE8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87FA650" w14:textId="73B0C1F1" w:rsidR="00623DCE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61FDF928" w14:textId="77777777" w:rsidR="00623DCE" w:rsidRDefault="00623DCE" w:rsidP="00623DCE">
      <w:pPr>
        <w:spacing w:before="92"/>
        <w:ind w:left="720" w:right="4234" w:firstLine="720"/>
        <w:rPr>
          <w:rFonts w:ascii="Arial"/>
          <w:color w:val="BF5A14"/>
        </w:rPr>
      </w:pPr>
    </w:p>
    <w:p w14:paraId="685074BB" w14:textId="449CE1E6" w:rsidR="00AE3E37" w:rsidRDefault="00623DCE" w:rsidP="00623DCE">
      <w:pPr>
        <w:spacing w:before="92"/>
        <w:ind w:right="4234" w:firstLine="720"/>
        <w:rPr>
          <w:rFonts w:ascii="Arial"/>
        </w:rPr>
      </w:pPr>
      <w:r>
        <w:rPr>
          <w:rFonts w:ascii="Arial"/>
          <w:color w:val="BF5A14"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88B2274" w14:textId="77777777" w:rsidR="002B6D35" w:rsidRPr="002B6D35" w:rsidRDefault="002B6D35" w:rsidP="002B6D35">
      <w:pPr>
        <w:spacing w:before="41" w:line="154" w:lineRule="exact"/>
        <w:ind w:left="213" w:right="231"/>
        <w:jc w:val="both"/>
        <w:rPr>
          <w:rFonts w:ascii="Arial"/>
          <w:sz w:val="14"/>
          <w:lang w:val="en-IN"/>
        </w:rPr>
      </w:pPr>
      <w:r w:rsidRPr="002B6D35">
        <w:rPr>
          <w:rFonts w:ascii="Arial"/>
          <w:sz w:val="14"/>
          <w:lang w:val="en-IN"/>
        </w:rPr>
        <w:t xml:space="preserve">Mr. Yadav is a highly skilled research assistant with </w:t>
      </w:r>
      <w:proofErr w:type="gramStart"/>
      <w:r w:rsidRPr="002B6D35">
        <w:rPr>
          <w:rFonts w:ascii="Arial"/>
          <w:sz w:val="14"/>
          <w:lang w:val="en-IN"/>
        </w:rPr>
        <w:t>expertise</w:t>
      </w:r>
      <w:proofErr w:type="gramEnd"/>
      <w:r w:rsidRPr="002B6D35">
        <w:rPr>
          <w:rFonts w:ascii="Arial"/>
          <w:sz w:val="14"/>
          <w:lang w:val="en-IN"/>
        </w:rPr>
        <w:t xml:space="preserve"> in evaluation and a passion for improving health in the field of multi-drug resistant tuberculosis. He has made significant contributions to the field through his research, particularly with his paper "Challenges &amp; Solutions for Recent Advancements in Multi-Drugs Resistance Tuberculosis: A Review." This paper presents new pathways for improving healthcare and understanding of treatment and diagnosis in MDR-TB. In addition to his work on this paper, Mr. Yadav has also conducted research using a rabbit model to </w:t>
      </w:r>
      <w:proofErr w:type="gramStart"/>
      <w:r w:rsidRPr="002B6D35">
        <w:rPr>
          <w:rFonts w:ascii="Arial"/>
          <w:sz w:val="14"/>
          <w:lang w:val="en-IN"/>
        </w:rPr>
        <w:t>monitor</w:t>
      </w:r>
      <w:proofErr w:type="gramEnd"/>
      <w:r w:rsidRPr="002B6D35">
        <w:rPr>
          <w:rFonts w:ascii="Arial"/>
          <w:sz w:val="14"/>
          <w:lang w:val="en-IN"/>
        </w:rPr>
        <w:t xml:space="preserve"> the secondary response against administer antigen followed by the validation of inject Ag concentration in-vitro. His dedication to understanding and combating MDR-TB makes him an invaluable asset to the research community.</w:t>
      </w:r>
    </w:p>
    <w:p w14:paraId="685074BD" w14:textId="2018F41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A5686" w:rsidRPr="008B44C1">
          <w:rPr>
            <w:rStyle w:val="Hyperlink"/>
            <w:rFonts w:ascii="Arial"/>
            <w:sz w:val="14"/>
          </w:rPr>
          <w:t>pramodyadavk3@gmail.com</w:t>
        </w:r>
      </w:hyperlink>
      <w:r w:rsidR="000A5686">
        <w:rPr>
          <w:rFonts w:ascii="Arial"/>
          <w:sz w:val="14"/>
        </w:rPr>
        <w:t xml:space="preserve"> </w:t>
      </w:r>
    </w:p>
    <w:p w14:paraId="685074BE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85074CB" wp14:editId="685074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270B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85074C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85074C3" w14:textId="26CEDDAC" w:rsidR="00AE3E37" w:rsidRPr="006A1011" w:rsidRDefault="00A9710C" w:rsidP="006A1011">
      <w:pPr>
        <w:spacing w:before="39"/>
        <w:ind w:left="100"/>
        <w:rPr>
          <w:rFonts w:ascii="Minion Pro"/>
          <w:sz w:val="20"/>
          <w:szCs w:val="18"/>
        </w:rPr>
        <w:sectPr w:rsidR="00AE3E37" w:rsidRPr="006A101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6A1011">
        <w:rPr>
          <w:rFonts w:ascii="Minion Pro"/>
          <w:b/>
          <w:sz w:val="20"/>
        </w:rPr>
        <w:t xml:space="preserve"> </w:t>
      </w:r>
      <w:r w:rsidR="006A1011" w:rsidRPr="006A1011">
        <w:rPr>
          <w:rFonts w:ascii="Minion Pro"/>
          <w:sz w:val="20"/>
          <w:szCs w:val="18"/>
        </w:rPr>
        <w:t xml:space="preserve">This </w:t>
      </w:r>
      <w:r w:rsidR="002B28DC">
        <w:rPr>
          <w:rFonts w:ascii="Minion Pro"/>
          <w:sz w:val="20"/>
          <w:szCs w:val="18"/>
        </w:rPr>
        <w:t>overview</w:t>
      </w:r>
      <w:r w:rsidR="006A1011" w:rsidRPr="006A1011">
        <w:rPr>
          <w:rFonts w:ascii="Minion Pro"/>
          <w:sz w:val="20"/>
          <w:szCs w:val="18"/>
        </w:rPr>
        <w:t xml:space="preserve"> provides</w:t>
      </w:r>
      <w:r w:rsidR="00D94A6E">
        <w:rPr>
          <w:rFonts w:ascii="Minion Pro"/>
          <w:sz w:val="20"/>
          <w:szCs w:val="18"/>
        </w:rPr>
        <w:t xml:space="preserve"> and supports the </w:t>
      </w:r>
      <w:r w:rsidR="006A1011" w:rsidRPr="006A1011">
        <w:rPr>
          <w:rFonts w:ascii="Minion Pro"/>
          <w:sz w:val="20"/>
          <w:szCs w:val="18"/>
        </w:rPr>
        <w:t xml:space="preserve">valuable insights into the efficacy and safety of the Bedaquiline-Pretomanid-Linezolid regimen in the treatment of drug-resistant tuberculosis. </w:t>
      </w:r>
    </w:p>
    <w:p w14:paraId="685074C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1C153" w14:textId="77777777" w:rsidR="00476C5D" w:rsidRDefault="00476C5D">
      <w:r>
        <w:separator/>
      </w:r>
    </w:p>
  </w:endnote>
  <w:endnote w:type="continuationSeparator" w:id="0">
    <w:p w14:paraId="46259900" w14:textId="77777777" w:rsidR="00476C5D" w:rsidRDefault="0047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074D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85074D7" wp14:editId="685074D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074E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85074E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074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685074E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85074E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85074D9" wp14:editId="685074D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074E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85074E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5074D9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85074E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85074E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85074DB" wp14:editId="685074D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074E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85074E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5074DB" id="Text Box 1" o:spid="_x0000_s1030" type="#_x0000_t202" style="position:absolute;margin-left:468.9pt;margin-top:798.8pt;width:91.4pt;height:26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85074E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85074E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EC4A" w14:textId="77777777" w:rsidR="00476C5D" w:rsidRDefault="00476C5D">
      <w:r>
        <w:separator/>
      </w:r>
    </w:p>
  </w:footnote>
  <w:footnote w:type="continuationSeparator" w:id="0">
    <w:p w14:paraId="24F4D128" w14:textId="77777777" w:rsidR="00476C5D" w:rsidRDefault="00476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074D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685074D3" wp14:editId="685074D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074D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074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85074D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85074D5" wp14:editId="685074D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074D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85074D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5074D5" id="Text Box 4" o:spid="_x0000_s1027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685074D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85074D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75205476">
    <w:abstractNumId w:val="0"/>
  </w:num>
  <w:num w:numId="2" w16cid:durableId="96607409">
    <w:abstractNumId w:val="1"/>
  </w:num>
  <w:num w:numId="3" w16cid:durableId="176221400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216D"/>
    <w:rsid w:val="00007858"/>
    <w:rsid w:val="00013C5A"/>
    <w:rsid w:val="00014033"/>
    <w:rsid w:val="00015F26"/>
    <w:rsid w:val="00094CE5"/>
    <w:rsid w:val="000A5686"/>
    <w:rsid w:val="000E2911"/>
    <w:rsid w:val="001263DF"/>
    <w:rsid w:val="001E763C"/>
    <w:rsid w:val="00292ED9"/>
    <w:rsid w:val="002A6D16"/>
    <w:rsid w:val="002B28DC"/>
    <w:rsid w:val="002B6D35"/>
    <w:rsid w:val="003111C6"/>
    <w:rsid w:val="00314AFB"/>
    <w:rsid w:val="003B76D9"/>
    <w:rsid w:val="003E383C"/>
    <w:rsid w:val="00404E5B"/>
    <w:rsid w:val="00414F7B"/>
    <w:rsid w:val="004355DC"/>
    <w:rsid w:val="004729CC"/>
    <w:rsid w:val="004749B4"/>
    <w:rsid w:val="00476C5D"/>
    <w:rsid w:val="00494130"/>
    <w:rsid w:val="004A6E21"/>
    <w:rsid w:val="004F3523"/>
    <w:rsid w:val="00564967"/>
    <w:rsid w:val="0056745D"/>
    <w:rsid w:val="005973B9"/>
    <w:rsid w:val="005B3A56"/>
    <w:rsid w:val="005B5740"/>
    <w:rsid w:val="006060CE"/>
    <w:rsid w:val="00623DCE"/>
    <w:rsid w:val="0063497F"/>
    <w:rsid w:val="0065370E"/>
    <w:rsid w:val="00685867"/>
    <w:rsid w:val="006A1011"/>
    <w:rsid w:val="00743CF4"/>
    <w:rsid w:val="0078738A"/>
    <w:rsid w:val="007A46B5"/>
    <w:rsid w:val="007C57AC"/>
    <w:rsid w:val="00873DF0"/>
    <w:rsid w:val="008756E6"/>
    <w:rsid w:val="008A7CCE"/>
    <w:rsid w:val="008E29CF"/>
    <w:rsid w:val="009B2D44"/>
    <w:rsid w:val="00A07E82"/>
    <w:rsid w:val="00A257CD"/>
    <w:rsid w:val="00A81EE6"/>
    <w:rsid w:val="00A9710C"/>
    <w:rsid w:val="00AE3E37"/>
    <w:rsid w:val="00B07276"/>
    <w:rsid w:val="00B21A57"/>
    <w:rsid w:val="00B91DC4"/>
    <w:rsid w:val="00C33602"/>
    <w:rsid w:val="00C56F83"/>
    <w:rsid w:val="00CD6F55"/>
    <w:rsid w:val="00CE170C"/>
    <w:rsid w:val="00D04452"/>
    <w:rsid w:val="00D62425"/>
    <w:rsid w:val="00D94A6E"/>
    <w:rsid w:val="00DE3104"/>
    <w:rsid w:val="00E835CC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074A6"/>
  <w15:docId w15:val="{C66E8E92-237F-47E8-93FF-122599DFF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A56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568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91DC4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4079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85655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91354146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6758600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490236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25348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240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592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1422282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1649745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9134808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763084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902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amodyadavk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77/11786361231152438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Parmod Yadav</cp:lastModifiedBy>
  <cp:revision>39</cp:revision>
  <cp:lastPrinted>2023-01-20T09:38:00Z</cp:lastPrinted>
  <dcterms:created xsi:type="dcterms:W3CDTF">2016-08-31T13:10:00Z</dcterms:created>
  <dcterms:modified xsi:type="dcterms:W3CDTF">2023-01-20T09:38:00Z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