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Italic" w:hAnsi="PalatinoLTStd-BoldItalic" w:cs="PalatinoLTStd-BoldItalic"/>
          <w:b/>
          <w:bCs/>
          <w:i/>
          <w:iCs/>
          <w:sz w:val="32"/>
          <w:szCs w:val="32"/>
        </w:rPr>
      </w:pPr>
      <w:r>
        <w:rPr>
          <w:rFonts w:ascii="PalatinoLTStd-BoldItalic" w:hAnsi="PalatinoLTStd-BoldItalic" w:cs="PalatinoLTStd-BoldItalic"/>
          <w:b/>
          <w:bCs/>
          <w:i/>
          <w:iCs/>
          <w:sz w:val="32"/>
          <w:szCs w:val="32"/>
        </w:rPr>
        <w:t>Original Research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44"/>
          <w:szCs w:val="44"/>
        </w:rPr>
      </w:pPr>
      <w:r>
        <w:rPr>
          <w:rFonts w:ascii="PalatinoLTStd-Bold" w:hAnsi="PalatinoLTStd-Bold" w:cs="PalatinoLTStd-Bold"/>
          <w:b/>
          <w:bCs/>
          <w:sz w:val="44"/>
          <w:szCs w:val="44"/>
        </w:rPr>
        <w:t>Effect of Antibiotic Administration during Infancy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44"/>
          <w:szCs w:val="44"/>
        </w:rPr>
      </w:pPr>
      <w:proofErr w:type="gramStart"/>
      <w:r>
        <w:rPr>
          <w:rFonts w:ascii="PalatinoLTStd-Bold" w:hAnsi="PalatinoLTStd-Bold" w:cs="PalatinoLTStd-Bold"/>
          <w:b/>
          <w:bCs/>
          <w:sz w:val="44"/>
          <w:szCs w:val="44"/>
        </w:rPr>
        <w:t>on</w:t>
      </w:r>
      <w:proofErr w:type="gramEnd"/>
      <w:r>
        <w:rPr>
          <w:rFonts w:ascii="PalatinoLTStd-Bold" w:hAnsi="PalatinoLTStd-Bold" w:cs="PalatinoLTStd-Bold"/>
          <w:b/>
          <w:bCs/>
          <w:sz w:val="44"/>
          <w:szCs w:val="44"/>
        </w:rPr>
        <w:t xml:space="preserve"> Growth Curves through Young Adulthood in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44"/>
          <w:szCs w:val="44"/>
        </w:rPr>
      </w:pPr>
      <w:r>
        <w:rPr>
          <w:rFonts w:ascii="PalatinoLTStd-Bold" w:hAnsi="PalatinoLTStd-Bold" w:cs="PalatinoLTStd-Bold"/>
          <w:b/>
          <w:bCs/>
          <w:sz w:val="44"/>
          <w:szCs w:val="44"/>
        </w:rPr>
        <w:t>Rhesus Macaques (</w:t>
      </w:r>
      <w:proofErr w:type="spellStart"/>
      <w:r>
        <w:rPr>
          <w:rFonts w:ascii="PalatinoLTStd-BoldItalic" w:hAnsi="PalatinoLTStd-BoldItalic" w:cs="PalatinoLTStd-BoldItalic"/>
          <w:b/>
          <w:bCs/>
          <w:i/>
          <w:iCs/>
          <w:sz w:val="44"/>
          <w:szCs w:val="44"/>
        </w:rPr>
        <w:t>Macaca</w:t>
      </w:r>
      <w:proofErr w:type="spellEnd"/>
      <w:r>
        <w:rPr>
          <w:rFonts w:ascii="PalatinoLTStd-BoldItalic" w:hAnsi="PalatinoLTStd-BoldItalic" w:cs="PalatinoLTStd-BoldItalic"/>
          <w:b/>
          <w:bCs/>
          <w:i/>
          <w:iCs/>
          <w:sz w:val="44"/>
          <w:szCs w:val="44"/>
        </w:rPr>
        <w:t xml:space="preserve"> </w:t>
      </w:r>
      <w:proofErr w:type="spellStart"/>
      <w:r>
        <w:rPr>
          <w:rFonts w:ascii="PalatinoLTStd-BoldItalic" w:hAnsi="PalatinoLTStd-BoldItalic" w:cs="PalatinoLTStd-BoldItalic"/>
          <w:b/>
          <w:bCs/>
          <w:i/>
          <w:iCs/>
          <w:sz w:val="44"/>
          <w:szCs w:val="44"/>
        </w:rPr>
        <w:t>mulatta</w:t>
      </w:r>
      <w:proofErr w:type="spellEnd"/>
      <w:r>
        <w:rPr>
          <w:rFonts w:ascii="PalatinoLTStd-Bold" w:hAnsi="PalatinoLTStd-Bold" w:cs="PalatinoLTStd-Bold"/>
          <w:b/>
          <w:bCs/>
          <w:sz w:val="44"/>
          <w:szCs w:val="44"/>
        </w:rPr>
        <w:t>)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44"/>
          <w:szCs w:val="44"/>
        </w:rPr>
      </w:pP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jc w:val="center"/>
        <w:rPr>
          <w:rFonts w:ascii="PalatinoLTStd-Bold" w:hAnsi="PalatinoLTStd-Bold" w:cs="PalatinoLTStd-Bold"/>
          <w:b/>
          <w:bCs/>
          <w:sz w:val="10"/>
          <w:szCs w:val="10"/>
        </w:rPr>
      </w:pPr>
      <w:r>
        <w:rPr>
          <w:rFonts w:ascii="PalatinoLTStd-Bold" w:hAnsi="PalatinoLTStd-Bold" w:cs="PalatinoLTStd-Bold"/>
          <w:b/>
          <w:bCs/>
          <w:sz w:val="18"/>
          <w:szCs w:val="18"/>
        </w:rPr>
        <w:t>Heather M Sidener</w:t>
      </w: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,</w:t>
      </w:r>
      <w:r>
        <w:rPr>
          <w:rFonts w:ascii="PalatinoLTStd-Bold" w:hAnsi="PalatinoLTStd-Bold" w:cs="PalatinoLTStd-Bold"/>
          <w:b/>
          <w:bCs/>
          <w:sz w:val="10"/>
          <w:szCs w:val="10"/>
        </w:rPr>
        <w:t>1</w:t>
      </w:r>
      <w:proofErr w:type="gramEnd"/>
      <w:r>
        <w:rPr>
          <w:rFonts w:ascii="PalatinoLTStd-Bold" w:hAnsi="PalatinoLTStd-Bold" w:cs="PalatinoLTStd-Bold"/>
          <w:b/>
          <w:bCs/>
          <w:sz w:val="10"/>
          <w:szCs w:val="10"/>
        </w:rPr>
        <w:t xml:space="preserve">,* </w:t>
      </w:r>
      <w:r>
        <w:rPr>
          <w:rFonts w:ascii="PalatinoLTStd-Bold" w:hAnsi="PalatinoLTStd-Bold" w:cs="PalatinoLTStd-Bold"/>
          <w:b/>
          <w:bCs/>
          <w:sz w:val="18"/>
          <w:szCs w:val="18"/>
        </w:rPr>
        <w:t>Byung Park,</w:t>
      </w:r>
      <w:r>
        <w:rPr>
          <w:rFonts w:ascii="PalatinoLTStd-Bold" w:hAnsi="PalatinoLTStd-Bold" w:cs="PalatinoLTStd-Bold"/>
          <w:b/>
          <w:bCs/>
          <w:sz w:val="10"/>
          <w:szCs w:val="10"/>
        </w:rPr>
        <w:t xml:space="preserve">2 </w:t>
      </w:r>
      <w:r>
        <w:rPr>
          <w:rFonts w:ascii="PalatinoLTStd-Bold" w:hAnsi="PalatinoLTStd-Bold" w:cs="PalatinoLTStd-Bold"/>
          <w:b/>
          <w:bCs/>
          <w:sz w:val="18"/>
          <w:szCs w:val="18"/>
        </w:rPr>
        <w:t>and Lina Gao</w:t>
      </w:r>
      <w:r>
        <w:rPr>
          <w:rFonts w:ascii="PalatinoLTStd-Bold" w:hAnsi="PalatinoLTStd-Bold" w:cs="PalatinoLTStd-Bold"/>
          <w:b/>
          <w:bCs/>
          <w:sz w:val="10"/>
          <w:szCs w:val="10"/>
        </w:rPr>
        <w:t>2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r>
        <w:rPr>
          <w:rFonts w:ascii="PalatinoLTStd-Bold" w:hAnsi="PalatinoLTStd-Bold" w:cs="PalatinoLTStd-Bold"/>
          <w:b/>
          <w:bCs/>
          <w:sz w:val="18"/>
          <w:szCs w:val="18"/>
        </w:rPr>
        <w:t>Recent human studies indicate a possible correlation between the administration of antibiotics during early life and the risk of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later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obesity, potentially due to antibiotic-induced alteration of the gastrointestinal microbiome. In humans, the risk of obesity increases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with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multiple courses of antibiotics and when fetuses or infants are treated with broad-spectrum and macrolide antibiotics.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r>
        <w:rPr>
          <w:rFonts w:ascii="PalatinoLTStd-Bold" w:hAnsi="PalatinoLTStd-Bold" w:cs="PalatinoLTStd-Bold"/>
          <w:b/>
          <w:bCs/>
          <w:sz w:val="18"/>
          <w:szCs w:val="18"/>
        </w:rPr>
        <w:t>In addition, the obesity risk in humans seems higher for males than females. We used a retrospective, case-control, matched-pair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study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design to evaluate health records for 99 control-matched pairs of rhesus macaques (</w:t>
      </w:r>
      <w:proofErr w:type="spellStart"/>
      <w:r>
        <w:rPr>
          <w:rFonts w:ascii="PalatinoLTStd-BoldItalic" w:hAnsi="PalatinoLTStd-BoldItalic" w:cs="PalatinoLTStd-BoldItalic"/>
          <w:b/>
          <w:bCs/>
          <w:i/>
          <w:iCs/>
          <w:sz w:val="18"/>
          <w:szCs w:val="18"/>
        </w:rPr>
        <w:t>Macaca</w:t>
      </w:r>
      <w:proofErr w:type="spellEnd"/>
      <w:r>
        <w:rPr>
          <w:rFonts w:ascii="PalatinoLTStd-BoldItalic" w:hAnsi="PalatinoLTStd-BoldItalic" w:cs="PalatinoLTStd-BoldItalic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Fonts w:ascii="PalatinoLTStd-BoldItalic" w:hAnsi="PalatinoLTStd-BoldItalic" w:cs="PalatinoLTStd-BoldItalic"/>
          <w:b/>
          <w:bCs/>
          <w:i/>
          <w:iCs/>
          <w:sz w:val="18"/>
          <w:szCs w:val="18"/>
        </w:rPr>
        <w:t>mulatta</w:t>
      </w:r>
      <w:proofErr w:type="spellEnd"/>
      <w:r>
        <w:rPr>
          <w:rFonts w:ascii="PalatinoLTStd-Bold" w:hAnsi="PalatinoLTStd-Bold" w:cs="PalatinoLTStd-Bold"/>
          <w:b/>
          <w:bCs/>
          <w:sz w:val="18"/>
          <w:szCs w:val="18"/>
        </w:rPr>
        <w:t>) from an outdoor breeding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colony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. We hypothesized that NHP treated with antibiotics prior to 6 </w:t>
      </w:r>
      <w:proofErr w:type="spellStart"/>
      <w:r>
        <w:rPr>
          <w:rFonts w:ascii="PalatinoLTStd-Bold" w:hAnsi="PalatinoLTStd-Bold" w:cs="PalatinoLTStd-Bold"/>
          <w:b/>
          <w:bCs/>
          <w:sz w:val="18"/>
          <w:szCs w:val="18"/>
        </w:rPr>
        <w:t>mo</w:t>
      </w:r>
      <w:proofErr w:type="spell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of age would have steeper growth curves than those who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spellStart"/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were</w:t>
      </w:r>
      <w:proofErr w:type="spellEnd"/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not. However, in contrast to prior research with humans and mice, growth curves did not differ between antibiotic-treated and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control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animals. Differences between humans and NHP may have influenced this outcome, including the relative standardization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of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NHP environmental factors and diet compared with those of human populations, types of infections encountered in infancy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and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choice of antibiotic treatment, and the different relative maturity at 6 </w:t>
      </w:r>
      <w:proofErr w:type="spellStart"/>
      <w:r>
        <w:rPr>
          <w:rFonts w:ascii="PalatinoLTStd-Bold" w:hAnsi="PalatinoLTStd-Bold" w:cs="PalatinoLTStd-Bold"/>
          <w:b/>
          <w:bCs/>
          <w:sz w:val="18"/>
          <w:szCs w:val="18"/>
        </w:rPr>
        <w:t>mo</w:t>
      </w:r>
      <w:proofErr w:type="spell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of age in the 2 species. The results provide support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for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current standard medical practice in NHP and highlight a difference between macaques and humans that may influence future</w:t>
      </w:r>
    </w:p>
    <w:p w:rsidR="000E43A6" w:rsidRDefault="000E43A6" w:rsidP="000E43A6">
      <w:pPr>
        <w:autoSpaceDE w:val="0"/>
        <w:autoSpaceDN w:val="0"/>
        <w:adjustRightInd w:val="0"/>
        <w:spacing w:after="0" w:line="240" w:lineRule="auto"/>
        <w:rPr>
          <w:rFonts w:ascii="PalatinoLTStd-Bold" w:hAnsi="PalatinoLTStd-Bold" w:cs="PalatinoLTStd-Bold"/>
          <w:b/>
          <w:bCs/>
          <w:sz w:val="18"/>
          <w:szCs w:val="18"/>
        </w:rPr>
      </w:pPr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obesity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research using macaques. Determining the basis for this difference might improve our understanding of the risks of </w:t>
      </w:r>
      <w:proofErr w:type="spellStart"/>
      <w:r>
        <w:rPr>
          <w:rFonts w:ascii="PalatinoLTStd-Bold" w:hAnsi="PalatinoLTStd-Bold" w:cs="PalatinoLTStd-Bold"/>
          <w:b/>
          <w:bCs/>
          <w:sz w:val="18"/>
          <w:szCs w:val="18"/>
        </w:rPr>
        <w:t>earlylife</w:t>
      </w:r>
      <w:proofErr w:type="spellEnd"/>
    </w:p>
    <w:p w:rsidR="0076785B" w:rsidRDefault="000E43A6" w:rsidP="000E43A6">
      <w:proofErr w:type="gramStart"/>
      <w:r>
        <w:rPr>
          <w:rFonts w:ascii="PalatinoLTStd-Bold" w:hAnsi="PalatinoLTStd-Bold" w:cs="PalatinoLTStd-Bold"/>
          <w:b/>
          <w:bCs/>
          <w:sz w:val="18"/>
          <w:szCs w:val="18"/>
        </w:rPr>
        <w:t>antibiotic</w:t>
      </w:r>
      <w:proofErr w:type="gramEnd"/>
      <w:r>
        <w:rPr>
          <w:rFonts w:ascii="PalatinoLTStd-Bold" w:hAnsi="PalatinoLTStd-Bold" w:cs="PalatinoLTStd-Bold"/>
          <w:b/>
          <w:bCs/>
          <w:sz w:val="18"/>
          <w:szCs w:val="18"/>
        </w:rPr>
        <w:t xml:space="preserve"> treatment and suggest mitigation strategies for treating infant illnesses without risking obesity.</w:t>
      </w:r>
      <w:bookmarkStart w:id="0" w:name="_GoBack"/>
      <w:bookmarkEnd w:id="0"/>
    </w:p>
    <w:sectPr w:rsidR="0076785B" w:rsidSect="000E43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A6"/>
    <w:rsid w:val="000E43A6"/>
    <w:rsid w:val="0076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Sidener</dc:creator>
  <cp:lastModifiedBy>Heather Sidener</cp:lastModifiedBy>
  <cp:revision>2</cp:revision>
  <dcterms:created xsi:type="dcterms:W3CDTF">2017-07-26T15:21:00Z</dcterms:created>
  <dcterms:modified xsi:type="dcterms:W3CDTF">2017-07-26T15:21:00Z</dcterms:modified>
</cp:coreProperties>
</file>