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776" w:rsidRPr="00B03809" w:rsidRDefault="00747776" w:rsidP="0017585B">
      <w:pPr>
        <w:autoSpaceDE w:val="0"/>
        <w:autoSpaceDN w:val="0"/>
        <w:adjustRightInd w:val="0"/>
        <w:spacing w:after="0" w:line="240" w:lineRule="auto"/>
        <w:jc w:val="both"/>
        <w:rPr>
          <w:rFonts w:ascii="Times New Roman" w:hAnsi="Times New Roman" w:cs="Times New Roman"/>
          <w:b/>
        </w:rPr>
      </w:pPr>
      <w:r w:rsidRPr="00B03809">
        <w:rPr>
          <w:rFonts w:ascii="Times New Roman" w:hAnsi="Times New Roman" w:cs="Times New Roman"/>
          <w:b/>
        </w:rPr>
        <w:t xml:space="preserve">ASSESSMENT OF </w:t>
      </w:r>
      <w:r w:rsidR="00CC2A9B" w:rsidRPr="00B03809">
        <w:rPr>
          <w:rFonts w:ascii="Times New Roman" w:hAnsi="Times New Roman" w:cs="Times New Roman"/>
          <w:b/>
        </w:rPr>
        <w:t xml:space="preserve">NULL MUTATIONS IN GSTT1 AND GSTM1, </w:t>
      </w:r>
      <w:r w:rsidR="007A6A28" w:rsidRPr="00B03809">
        <w:rPr>
          <w:rFonts w:ascii="Times New Roman" w:hAnsi="Times New Roman" w:cs="Times New Roman"/>
          <w:b/>
        </w:rPr>
        <w:t xml:space="preserve">TLR 2 </w:t>
      </w:r>
      <w:r w:rsidR="00CC2A9B" w:rsidRPr="00B03809">
        <w:rPr>
          <w:rFonts w:ascii="Times New Roman" w:hAnsi="Times New Roman" w:cs="Times New Roman"/>
          <w:b/>
        </w:rPr>
        <w:t xml:space="preserve">POLYMORPHISM </w:t>
      </w:r>
      <w:r w:rsidR="007A6A28" w:rsidRPr="00B03809">
        <w:rPr>
          <w:rFonts w:ascii="Times New Roman" w:hAnsi="Times New Roman" w:cs="Times New Roman"/>
          <w:b/>
        </w:rPr>
        <w:t>(ARG677TRP)</w:t>
      </w:r>
      <w:r w:rsidR="00E46206" w:rsidRPr="00B03809">
        <w:rPr>
          <w:rFonts w:ascii="Times New Roman" w:hAnsi="Times New Roman" w:cs="Times New Roman"/>
          <w:b/>
        </w:rPr>
        <w:t xml:space="preserve"> </w:t>
      </w:r>
      <w:r w:rsidRPr="00B03809">
        <w:rPr>
          <w:rFonts w:ascii="Times New Roman" w:hAnsi="Times New Roman" w:cs="Times New Roman"/>
          <w:b/>
        </w:rPr>
        <w:t>AND EFFICACY OF COMMONLY PREVAILING ERADICATION THERAPIES IN HELICOBACTER PYLORI INFECTED PATIENTS OF PAKISTAN</w:t>
      </w:r>
    </w:p>
    <w:p w:rsidR="00132645" w:rsidRPr="00B03809" w:rsidRDefault="00132645" w:rsidP="003345CD">
      <w:pPr>
        <w:pStyle w:val="yiv6670160790msonormal"/>
        <w:shd w:val="clear" w:color="auto" w:fill="FFFFFF"/>
        <w:spacing w:before="0" w:beforeAutospacing="0" w:after="0" w:afterAutospacing="0"/>
        <w:rPr>
          <w:color w:val="000000"/>
          <w:sz w:val="22"/>
          <w:szCs w:val="22"/>
        </w:rPr>
      </w:pPr>
      <w:r w:rsidRPr="00B03809">
        <w:rPr>
          <w:color w:val="000000"/>
          <w:sz w:val="22"/>
          <w:szCs w:val="22"/>
        </w:rPr>
        <w:br/>
      </w:r>
      <w:r w:rsidRPr="00B03809">
        <w:rPr>
          <w:i/>
          <w:iCs/>
          <w:color w:val="000000"/>
          <w:sz w:val="22"/>
          <w:szCs w:val="22"/>
          <w:u w:val="single"/>
        </w:rPr>
        <w:t>F. Rashid</w:t>
      </w:r>
      <w:r w:rsidRPr="00B03809">
        <w:rPr>
          <w:i/>
          <w:iCs/>
          <w:color w:val="000000"/>
          <w:sz w:val="22"/>
          <w:szCs w:val="22"/>
          <w:vertAlign w:val="superscript"/>
        </w:rPr>
        <w:t>1</w:t>
      </w:r>
      <w:r w:rsidRPr="00B03809">
        <w:rPr>
          <w:i/>
          <w:iCs/>
          <w:color w:val="000000"/>
          <w:sz w:val="22"/>
          <w:szCs w:val="22"/>
        </w:rPr>
        <w:t>, H. Noor</w:t>
      </w:r>
      <w:r w:rsidRPr="00B03809">
        <w:rPr>
          <w:i/>
          <w:iCs/>
          <w:color w:val="000000"/>
          <w:sz w:val="22"/>
          <w:szCs w:val="22"/>
          <w:vertAlign w:val="superscript"/>
        </w:rPr>
        <w:t>2</w:t>
      </w:r>
      <w:r w:rsidRPr="00B03809">
        <w:rPr>
          <w:i/>
          <w:iCs/>
          <w:color w:val="000000"/>
          <w:sz w:val="22"/>
          <w:szCs w:val="22"/>
        </w:rPr>
        <w:t>, M. Ali</w:t>
      </w:r>
      <w:r w:rsidRPr="00B03809">
        <w:rPr>
          <w:i/>
          <w:iCs/>
          <w:color w:val="000000"/>
          <w:sz w:val="22"/>
          <w:szCs w:val="22"/>
          <w:vertAlign w:val="superscript"/>
        </w:rPr>
        <w:t>2</w:t>
      </w:r>
      <w:r w:rsidRPr="00B03809">
        <w:rPr>
          <w:i/>
          <w:iCs/>
          <w:color w:val="000000"/>
          <w:sz w:val="22"/>
          <w:szCs w:val="22"/>
        </w:rPr>
        <w:t xml:space="preserve">, </w:t>
      </w:r>
      <w:r w:rsidR="00627CFD" w:rsidRPr="00B03809">
        <w:rPr>
          <w:i/>
          <w:iCs/>
          <w:color w:val="000000"/>
          <w:sz w:val="22"/>
          <w:szCs w:val="22"/>
        </w:rPr>
        <w:t>R. Faryal</w:t>
      </w:r>
      <w:r w:rsidR="00627CFD" w:rsidRPr="00B03809">
        <w:rPr>
          <w:i/>
          <w:iCs/>
          <w:color w:val="000000"/>
          <w:sz w:val="22"/>
          <w:szCs w:val="22"/>
          <w:vertAlign w:val="superscript"/>
        </w:rPr>
        <w:t>1</w:t>
      </w:r>
      <w:r w:rsidR="00627CFD" w:rsidRPr="00B03809">
        <w:rPr>
          <w:i/>
          <w:iCs/>
          <w:color w:val="000000"/>
          <w:sz w:val="22"/>
          <w:szCs w:val="22"/>
        </w:rPr>
        <w:t xml:space="preserve">, </w:t>
      </w:r>
      <w:r w:rsidRPr="00B03809">
        <w:rPr>
          <w:i/>
          <w:iCs/>
          <w:color w:val="000000"/>
          <w:sz w:val="22"/>
          <w:szCs w:val="22"/>
        </w:rPr>
        <w:t>R. Kamran</w:t>
      </w:r>
      <w:r w:rsidRPr="00B03809">
        <w:rPr>
          <w:i/>
          <w:iCs/>
          <w:color w:val="000000"/>
          <w:sz w:val="22"/>
          <w:szCs w:val="22"/>
          <w:vertAlign w:val="superscript"/>
        </w:rPr>
        <w:t>3</w:t>
      </w:r>
      <w:r w:rsidRPr="00B03809">
        <w:rPr>
          <w:i/>
          <w:iCs/>
          <w:color w:val="000000"/>
          <w:sz w:val="22"/>
          <w:szCs w:val="22"/>
        </w:rPr>
        <w:t>, A. Yameen</w:t>
      </w:r>
      <w:r w:rsidRPr="00B03809">
        <w:rPr>
          <w:i/>
          <w:iCs/>
          <w:color w:val="000000"/>
          <w:sz w:val="22"/>
          <w:szCs w:val="22"/>
          <w:vertAlign w:val="superscript"/>
        </w:rPr>
        <w:t>4</w:t>
      </w:r>
      <w:r w:rsidRPr="00B03809">
        <w:rPr>
          <w:i/>
          <w:iCs/>
          <w:color w:val="000000"/>
          <w:sz w:val="22"/>
          <w:szCs w:val="22"/>
        </w:rPr>
        <w:t>, T. Ahmad</w:t>
      </w:r>
      <w:r w:rsidRPr="00B03809">
        <w:rPr>
          <w:i/>
          <w:iCs/>
          <w:color w:val="000000"/>
          <w:sz w:val="22"/>
          <w:szCs w:val="22"/>
          <w:vertAlign w:val="superscript"/>
        </w:rPr>
        <w:t>4</w:t>
      </w:r>
      <w:r w:rsidRPr="00B03809">
        <w:rPr>
          <w:i/>
          <w:iCs/>
          <w:color w:val="000000"/>
          <w:sz w:val="22"/>
          <w:szCs w:val="22"/>
        </w:rPr>
        <w:t>, F. Rasheed</w:t>
      </w:r>
      <w:r w:rsidRPr="00B03809">
        <w:rPr>
          <w:i/>
          <w:iCs/>
          <w:color w:val="000000"/>
          <w:sz w:val="22"/>
          <w:szCs w:val="22"/>
          <w:vertAlign w:val="superscript"/>
        </w:rPr>
        <w:t>5</w:t>
      </w:r>
      <w:r w:rsidRPr="00B03809">
        <w:rPr>
          <w:i/>
          <w:iCs/>
          <w:color w:val="000000"/>
          <w:sz w:val="22"/>
          <w:szCs w:val="22"/>
        </w:rPr>
        <w:br/>
      </w:r>
      <w:r w:rsidRPr="00B03809">
        <w:rPr>
          <w:i/>
          <w:iCs/>
          <w:color w:val="000000"/>
          <w:sz w:val="22"/>
          <w:szCs w:val="22"/>
          <w:vertAlign w:val="superscript"/>
        </w:rPr>
        <w:t>1</w:t>
      </w:r>
      <w:r w:rsidR="00627CFD" w:rsidRPr="00B03809">
        <w:rPr>
          <w:i/>
          <w:iCs/>
          <w:color w:val="000000"/>
          <w:sz w:val="22"/>
          <w:szCs w:val="22"/>
        </w:rPr>
        <w:t xml:space="preserve">Quaid-i-Azam University, </w:t>
      </w:r>
      <w:r w:rsidRPr="00B03809">
        <w:rPr>
          <w:i/>
          <w:iCs/>
          <w:color w:val="000000"/>
          <w:sz w:val="22"/>
          <w:szCs w:val="22"/>
        </w:rPr>
        <w:t>Islamabad, Pakistan</w:t>
      </w:r>
      <w:r w:rsidRPr="00B03809">
        <w:rPr>
          <w:i/>
          <w:iCs/>
          <w:color w:val="000000"/>
          <w:sz w:val="22"/>
          <w:szCs w:val="22"/>
        </w:rPr>
        <w:br/>
      </w:r>
      <w:r w:rsidRPr="00B03809">
        <w:rPr>
          <w:i/>
          <w:iCs/>
          <w:color w:val="000000"/>
          <w:sz w:val="22"/>
          <w:szCs w:val="22"/>
          <w:vertAlign w:val="superscript"/>
        </w:rPr>
        <w:t>2</w:t>
      </w:r>
      <w:r w:rsidRPr="00B03809">
        <w:rPr>
          <w:i/>
          <w:iCs/>
          <w:color w:val="000000"/>
          <w:sz w:val="22"/>
          <w:szCs w:val="22"/>
        </w:rPr>
        <w:t>Pakistan Institute of Medical Sciences, Department of Gastroenterology, Islamabad, Pakistan</w:t>
      </w:r>
      <w:r w:rsidRPr="00B03809">
        <w:rPr>
          <w:i/>
          <w:iCs/>
          <w:color w:val="000000"/>
          <w:sz w:val="22"/>
          <w:szCs w:val="22"/>
        </w:rPr>
        <w:br/>
      </w:r>
      <w:r w:rsidRPr="00B03809">
        <w:rPr>
          <w:i/>
          <w:iCs/>
          <w:color w:val="000000"/>
          <w:sz w:val="22"/>
          <w:szCs w:val="22"/>
          <w:vertAlign w:val="superscript"/>
        </w:rPr>
        <w:t>3</w:t>
      </w:r>
      <w:r w:rsidRPr="00B03809">
        <w:rPr>
          <w:i/>
          <w:iCs/>
          <w:color w:val="000000"/>
          <w:sz w:val="22"/>
          <w:szCs w:val="22"/>
        </w:rPr>
        <w:t>Pakistan Institute of Medical Sciences, Microbiology, Islamabad, Pakistan</w:t>
      </w:r>
      <w:r w:rsidRPr="00B03809">
        <w:rPr>
          <w:i/>
          <w:iCs/>
          <w:color w:val="000000"/>
          <w:sz w:val="22"/>
          <w:szCs w:val="22"/>
        </w:rPr>
        <w:br/>
      </w:r>
      <w:r w:rsidRPr="00B03809">
        <w:rPr>
          <w:i/>
          <w:iCs/>
          <w:color w:val="000000"/>
          <w:sz w:val="22"/>
          <w:szCs w:val="22"/>
          <w:vertAlign w:val="superscript"/>
        </w:rPr>
        <w:t>4</w:t>
      </w:r>
      <w:r w:rsidRPr="00B03809">
        <w:rPr>
          <w:i/>
          <w:iCs/>
          <w:color w:val="000000"/>
          <w:sz w:val="22"/>
          <w:szCs w:val="22"/>
        </w:rPr>
        <w:t>Pakistan Institute of Nuclear Science and Technology, Delta V Mass Spectrometer Lab, Islamabad, Pakistan</w:t>
      </w:r>
      <w:r w:rsidRPr="00B03809">
        <w:rPr>
          <w:i/>
          <w:iCs/>
          <w:color w:val="000000"/>
          <w:sz w:val="22"/>
          <w:szCs w:val="22"/>
        </w:rPr>
        <w:br/>
      </w:r>
      <w:r w:rsidRPr="00B03809">
        <w:rPr>
          <w:i/>
          <w:iCs/>
          <w:color w:val="000000"/>
          <w:sz w:val="22"/>
          <w:szCs w:val="22"/>
          <w:vertAlign w:val="superscript"/>
        </w:rPr>
        <w:t>5</w:t>
      </w:r>
      <w:r w:rsidRPr="00B03809">
        <w:rPr>
          <w:i/>
          <w:iCs/>
          <w:color w:val="000000"/>
          <w:sz w:val="22"/>
          <w:szCs w:val="22"/>
        </w:rPr>
        <w:t xml:space="preserve">Nuclear Medicine Oncology &amp; Radiotherapy Institute, </w:t>
      </w:r>
      <w:proofErr w:type="spellStart"/>
      <w:r w:rsidRPr="00B03809">
        <w:rPr>
          <w:i/>
          <w:iCs/>
          <w:color w:val="000000"/>
          <w:sz w:val="22"/>
          <w:szCs w:val="22"/>
        </w:rPr>
        <w:t>BreathMAT</w:t>
      </w:r>
      <w:proofErr w:type="spellEnd"/>
      <w:r w:rsidRPr="00B03809">
        <w:rPr>
          <w:i/>
          <w:iCs/>
          <w:color w:val="000000"/>
          <w:sz w:val="22"/>
          <w:szCs w:val="22"/>
        </w:rPr>
        <w:t> Lab, Islamabad, Pakistan</w:t>
      </w:r>
      <w:r w:rsidRPr="00B03809">
        <w:rPr>
          <w:rStyle w:val="apple-converted-space"/>
          <w:i/>
          <w:iCs/>
          <w:color w:val="000000"/>
          <w:sz w:val="22"/>
          <w:szCs w:val="22"/>
        </w:rPr>
        <w:t> </w:t>
      </w:r>
      <w:r w:rsidRPr="00B03809">
        <w:rPr>
          <w:i/>
          <w:iCs/>
          <w:color w:val="000000"/>
          <w:sz w:val="22"/>
          <w:szCs w:val="22"/>
        </w:rPr>
        <w:br/>
      </w:r>
      <w:r w:rsidRPr="00B03809">
        <w:rPr>
          <w:color w:val="000000"/>
          <w:sz w:val="22"/>
          <w:szCs w:val="22"/>
        </w:rPr>
        <w:br/>
      </w:r>
      <w:r w:rsidRPr="00B03809">
        <w:rPr>
          <w:b/>
          <w:bCs/>
          <w:color w:val="000000"/>
          <w:sz w:val="22"/>
          <w:szCs w:val="22"/>
        </w:rPr>
        <w:t>Backgrounds</w:t>
      </w:r>
    </w:p>
    <w:p w:rsidR="00132645" w:rsidRPr="00B03809" w:rsidRDefault="00132645" w:rsidP="0017585B">
      <w:pPr>
        <w:pStyle w:val="yiv6670160790msonormal"/>
        <w:shd w:val="clear" w:color="auto" w:fill="FFFFFF"/>
        <w:spacing w:before="0" w:beforeAutospacing="0" w:after="0" w:afterAutospacing="0"/>
        <w:jc w:val="both"/>
        <w:rPr>
          <w:color w:val="000000"/>
          <w:sz w:val="22"/>
          <w:szCs w:val="22"/>
        </w:rPr>
      </w:pPr>
      <w:r w:rsidRPr="00B03809">
        <w:rPr>
          <w:color w:val="000000"/>
          <w:sz w:val="22"/>
          <w:szCs w:val="22"/>
        </w:rPr>
        <w:t>The prevalence of </w:t>
      </w:r>
      <w:r w:rsidRPr="00B03809">
        <w:rPr>
          <w:i/>
          <w:iCs/>
          <w:color w:val="000000"/>
          <w:sz w:val="22"/>
          <w:szCs w:val="22"/>
        </w:rPr>
        <w:t>H. pylori</w:t>
      </w:r>
      <w:r w:rsidRPr="00B03809">
        <w:rPr>
          <w:color w:val="000000"/>
          <w:sz w:val="22"/>
          <w:szCs w:val="22"/>
        </w:rPr>
        <w:t>, its associated risk factors and efficacy of eradication therapies against it, varies widely in different geographical regions. In the developing countries </w:t>
      </w:r>
      <w:r w:rsidRPr="00B03809">
        <w:rPr>
          <w:i/>
          <w:iCs/>
          <w:color w:val="000000"/>
          <w:sz w:val="22"/>
          <w:szCs w:val="22"/>
        </w:rPr>
        <w:t>H. pylori</w:t>
      </w:r>
      <w:r w:rsidRPr="00B03809">
        <w:rPr>
          <w:color w:val="000000"/>
          <w:sz w:val="22"/>
          <w:szCs w:val="22"/>
        </w:rPr>
        <w:t> infection is more prevalent. Therefore, assessment of efficacy of prevailing eradication t</w:t>
      </w:r>
      <w:r w:rsidR="00DB6ACD" w:rsidRPr="00B03809">
        <w:rPr>
          <w:color w:val="000000"/>
          <w:sz w:val="22"/>
          <w:szCs w:val="22"/>
        </w:rPr>
        <w:t>herapies as well as mutations</w:t>
      </w:r>
      <w:r w:rsidRPr="00B03809">
        <w:rPr>
          <w:color w:val="000000"/>
          <w:sz w:val="22"/>
          <w:szCs w:val="22"/>
        </w:rPr>
        <w:t xml:space="preserve"> is essential to decrease the epidemiology. </w:t>
      </w:r>
      <w:r w:rsidRPr="00B03809">
        <w:rPr>
          <w:sz w:val="22"/>
          <w:szCs w:val="22"/>
        </w:rPr>
        <w:t xml:space="preserve">Up till now, no study has been carried out to determine the association of TLR 2 (Arg677Trp) polymorphism as well as GSTT1 and GSTM1 polymorphism with </w:t>
      </w:r>
      <w:r w:rsidRPr="00B03809">
        <w:rPr>
          <w:i/>
          <w:sz w:val="22"/>
          <w:szCs w:val="22"/>
        </w:rPr>
        <w:t xml:space="preserve">H. pylori </w:t>
      </w:r>
      <w:r w:rsidRPr="00B03809">
        <w:rPr>
          <w:sz w:val="22"/>
          <w:szCs w:val="22"/>
        </w:rPr>
        <w:t xml:space="preserve">and gastro-duodenal diseases as genetic risk factor.  </w:t>
      </w:r>
    </w:p>
    <w:p w:rsidR="00132645" w:rsidRPr="00B03809" w:rsidRDefault="00132645" w:rsidP="0017585B">
      <w:pPr>
        <w:pStyle w:val="yiv6670160790msonormal"/>
        <w:shd w:val="clear" w:color="auto" w:fill="FFFFFF"/>
        <w:spacing w:before="0" w:beforeAutospacing="0" w:after="0" w:afterAutospacing="0"/>
        <w:jc w:val="both"/>
        <w:rPr>
          <w:color w:val="000000"/>
          <w:sz w:val="22"/>
          <w:szCs w:val="22"/>
        </w:rPr>
      </w:pPr>
      <w:r w:rsidRPr="00B03809">
        <w:rPr>
          <w:b/>
          <w:bCs/>
          <w:color w:val="000000"/>
          <w:sz w:val="22"/>
          <w:szCs w:val="22"/>
        </w:rPr>
        <w:t>Objectives</w:t>
      </w:r>
    </w:p>
    <w:p w:rsidR="00132645" w:rsidRPr="00B03809" w:rsidRDefault="00132645" w:rsidP="0017585B">
      <w:pPr>
        <w:pStyle w:val="yiv6670160790msonormal"/>
        <w:shd w:val="clear" w:color="auto" w:fill="FFFFFF"/>
        <w:spacing w:before="0" w:beforeAutospacing="0" w:after="0" w:afterAutospacing="0"/>
        <w:jc w:val="both"/>
        <w:rPr>
          <w:color w:val="000000"/>
          <w:sz w:val="22"/>
          <w:szCs w:val="22"/>
        </w:rPr>
      </w:pPr>
      <w:r w:rsidRPr="00B03809">
        <w:rPr>
          <w:color w:val="000000"/>
          <w:sz w:val="22"/>
          <w:szCs w:val="22"/>
        </w:rPr>
        <w:t>To determine</w:t>
      </w:r>
      <w:r w:rsidR="00DB6ACD" w:rsidRPr="00B03809">
        <w:rPr>
          <w:color w:val="000000"/>
          <w:sz w:val="22"/>
          <w:szCs w:val="22"/>
        </w:rPr>
        <w:t xml:space="preserve"> the prevalence and association</w:t>
      </w:r>
      <w:r w:rsidRPr="00B03809">
        <w:rPr>
          <w:color w:val="000000"/>
          <w:sz w:val="22"/>
          <w:szCs w:val="22"/>
        </w:rPr>
        <w:t xml:space="preserve"> </w:t>
      </w:r>
      <w:r w:rsidR="00DB6ACD" w:rsidRPr="00B03809">
        <w:rPr>
          <w:color w:val="000000"/>
          <w:sz w:val="22"/>
          <w:szCs w:val="22"/>
        </w:rPr>
        <w:t xml:space="preserve">of </w:t>
      </w:r>
      <w:r w:rsidR="00DB6ACD" w:rsidRPr="00B03809">
        <w:rPr>
          <w:sz w:val="22"/>
          <w:szCs w:val="22"/>
        </w:rPr>
        <w:t xml:space="preserve">TLR-2 and GST genes polymorphism </w:t>
      </w:r>
      <w:r w:rsidR="00DB6ACD" w:rsidRPr="00B03809">
        <w:rPr>
          <w:color w:val="000000"/>
          <w:sz w:val="22"/>
          <w:szCs w:val="22"/>
        </w:rPr>
        <w:t>with</w:t>
      </w:r>
      <w:r w:rsidRPr="00B03809">
        <w:rPr>
          <w:color w:val="000000"/>
          <w:sz w:val="22"/>
          <w:szCs w:val="22"/>
        </w:rPr>
        <w:t xml:space="preserve"> </w:t>
      </w:r>
      <w:r w:rsidRPr="00B03809">
        <w:rPr>
          <w:i/>
          <w:color w:val="000000"/>
          <w:sz w:val="22"/>
          <w:szCs w:val="22"/>
        </w:rPr>
        <w:t>H. Pylori</w:t>
      </w:r>
      <w:r w:rsidRPr="00B03809">
        <w:rPr>
          <w:color w:val="000000"/>
          <w:sz w:val="22"/>
          <w:szCs w:val="22"/>
        </w:rPr>
        <w:t xml:space="preserve"> infection along with efficacy and side effects of prevailing treatment therapies in the local population sufferin</w:t>
      </w:r>
      <w:r w:rsidR="00DB6ACD" w:rsidRPr="00B03809">
        <w:rPr>
          <w:color w:val="000000"/>
          <w:sz w:val="22"/>
          <w:szCs w:val="22"/>
        </w:rPr>
        <w:t>g from gastro-duodenal diseases.</w:t>
      </w:r>
      <w:r w:rsidR="00E65DF6" w:rsidRPr="00B03809">
        <w:rPr>
          <w:color w:val="000000"/>
          <w:sz w:val="22"/>
          <w:szCs w:val="22"/>
        </w:rPr>
        <w:t xml:space="preserve"> </w:t>
      </w:r>
    </w:p>
    <w:p w:rsidR="00132645" w:rsidRPr="00B03809" w:rsidRDefault="00132645" w:rsidP="0017585B">
      <w:pPr>
        <w:pStyle w:val="yiv6670160790msonormal"/>
        <w:shd w:val="clear" w:color="auto" w:fill="FFFFFF"/>
        <w:spacing w:before="0" w:beforeAutospacing="0" w:after="0" w:afterAutospacing="0"/>
        <w:jc w:val="both"/>
        <w:rPr>
          <w:color w:val="000000"/>
          <w:sz w:val="22"/>
          <w:szCs w:val="22"/>
        </w:rPr>
      </w:pPr>
      <w:r w:rsidRPr="00B03809">
        <w:rPr>
          <w:b/>
          <w:bCs/>
          <w:color w:val="000000"/>
          <w:sz w:val="22"/>
          <w:szCs w:val="22"/>
        </w:rPr>
        <w:t>Methods</w:t>
      </w:r>
    </w:p>
    <w:p w:rsidR="00132645" w:rsidRPr="00B03809" w:rsidRDefault="00132645" w:rsidP="0017585B">
      <w:pPr>
        <w:pStyle w:val="yiv6670160790msonormal"/>
        <w:shd w:val="clear" w:color="auto" w:fill="FFFFFF"/>
        <w:spacing w:before="0" w:beforeAutospacing="0" w:after="0" w:afterAutospacing="0"/>
        <w:jc w:val="both"/>
        <w:rPr>
          <w:sz w:val="22"/>
          <w:szCs w:val="22"/>
        </w:rPr>
      </w:pPr>
      <w:r w:rsidRPr="00B03809">
        <w:rPr>
          <w:color w:val="000000"/>
          <w:sz w:val="22"/>
          <w:szCs w:val="22"/>
        </w:rPr>
        <w:t>A total of 159 patients were enrolled to determine</w:t>
      </w:r>
      <w:r w:rsidR="00DB6ACD" w:rsidRPr="00B03809">
        <w:rPr>
          <w:color w:val="000000"/>
          <w:sz w:val="22"/>
          <w:szCs w:val="22"/>
        </w:rPr>
        <w:t xml:space="preserve"> the prevalence and</w:t>
      </w:r>
      <w:r w:rsidRPr="00B03809">
        <w:rPr>
          <w:color w:val="000000"/>
          <w:sz w:val="22"/>
          <w:szCs w:val="22"/>
        </w:rPr>
        <w:t xml:space="preserve"> effectiveness of first line eradication therapies namely standard triple therapy and sequential therapy as well as second line eradication therapies which included levofloxacin based triple therapy and moxifloxacin based triple therapy. The status of </w:t>
      </w:r>
      <w:r w:rsidRPr="00B03809">
        <w:rPr>
          <w:i/>
          <w:color w:val="000000"/>
          <w:sz w:val="22"/>
          <w:szCs w:val="22"/>
        </w:rPr>
        <w:t>H. pylori</w:t>
      </w:r>
      <w:r w:rsidRPr="00B03809">
        <w:rPr>
          <w:color w:val="000000"/>
          <w:sz w:val="22"/>
          <w:szCs w:val="22"/>
        </w:rPr>
        <w:t xml:space="preserve"> infection in patients was determined by </w:t>
      </w:r>
      <w:r w:rsidRPr="00B03809">
        <w:rPr>
          <w:color w:val="000000"/>
          <w:sz w:val="22"/>
          <w:szCs w:val="22"/>
          <w:vertAlign w:val="superscript"/>
        </w:rPr>
        <w:t>13</w:t>
      </w:r>
      <w:r w:rsidRPr="00B03809">
        <w:rPr>
          <w:color w:val="000000"/>
          <w:sz w:val="22"/>
          <w:szCs w:val="22"/>
        </w:rPr>
        <w:t xml:space="preserve">C Urea Breath Test. </w:t>
      </w:r>
      <w:r w:rsidR="007A6A28" w:rsidRPr="00B03809">
        <w:rPr>
          <w:sz w:val="22"/>
          <w:szCs w:val="22"/>
        </w:rPr>
        <w:t xml:space="preserve">Also, 130 individuals (59 </w:t>
      </w:r>
      <w:r w:rsidR="007A6A28" w:rsidRPr="00B03809">
        <w:rPr>
          <w:i/>
          <w:sz w:val="22"/>
          <w:szCs w:val="22"/>
        </w:rPr>
        <w:t xml:space="preserve">H. </w:t>
      </w:r>
      <w:r w:rsidR="007A6A28" w:rsidRPr="00B03809">
        <w:rPr>
          <w:sz w:val="22"/>
          <w:szCs w:val="22"/>
        </w:rPr>
        <w:t>pylori infected and 71</w:t>
      </w:r>
      <w:r w:rsidR="007A6A28" w:rsidRPr="00B03809">
        <w:rPr>
          <w:i/>
          <w:sz w:val="22"/>
          <w:szCs w:val="22"/>
        </w:rPr>
        <w:t xml:space="preserve"> H. pylori </w:t>
      </w:r>
      <w:r w:rsidR="007A6A28" w:rsidRPr="00B03809">
        <w:rPr>
          <w:sz w:val="22"/>
          <w:szCs w:val="22"/>
        </w:rPr>
        <w:t xml:space="preserve">non-infected) </w:t>
      </w:r>
      <w:r w:rsidRPr="00B03809">
        <w:rPr>
          <w:sz w:val="22"/>
          <w:szCs w:val="22"/>
        </w:rPr>
        <w:t>were enrolled separately for PCR based detection of polymorphism in TLR-2 Arg677Trp (C2029T), GSST-1 and GSTM1 genes.</w:t>
      </w:r>
      <w:r w:rsidR="00EF28EF" w:rsidRPr="00B03809">
        <w:rPr>
          <w:sz w:val="22"/>
          <w:szCs w:val="22"/>
        </w:rPr>
        <w:t xml:space="preserve"> </w:t>
      </w:r>
    </w:p>
    <w:p w:rsidR="00EF28EF" w:rsidRPr="00B03809" w:rsidRDefault="00EF28EF" w:rsidP="0017585B">
      <w:pPr>
        <w:pStyle w:val="yiv6670160790msonormal"/>
        <w:shd w:val="clear" w:color="auto" w:fill="FFFFFF"/>
        <w:spacing w:before="0" w:beforeAutospacing="0" w:after="0" w:afterAutospacing="0"/>
        <w:jc w:val="both"/>
        <w:rPr>
          <w:b/>
          <w:sz w:val="22"/>
          <w:szCs w:val="22"/>
        </w:rPr>
      </w:pPr>
      <w:r w:rsidRPr="00B03809">
        <w:rPr>
          <w:b/>
          <w:sz w:val="22"/>
          <w:szCs w:val="22"/>
        </w:rPr>
        <w:t>Results</w:t>
      </w:r>
    </w:p>
    <w:p w:rsidR="00EF28EF" w:rsidRPr="00B03809" w:rsidRDefault="00EF28EF" w:rsidP="0017585B">
      <w:pPr>
        <w:pStyle w:val="yiv6670160790msonormal"/>
        <w:shd w:val="clear" w:color="auto" w:fill="FFFFFF"/>
        <w:spacing w:before="0" w:beforeAutospacing="0" w:after="0" w:afterAutospacing="0"/>
        <w:jc w:val="both"/>
        <w:rPr>
          <w:b/>
          <w:color w:val="000000"/>
          <w:sz w:val="22"/>
          <w:szCs w:val="22"/>
        </w:rPr>
      </w:pPr>
      <w:r w:rsidRPr="00B03809">
        <w:rPr>
          <w:sz w:val="22"/>
          <w:szCs w:val="22"/>
        </w:rPr>
        <w:t xml:space="preserve">The prevalence of </w:t>
      </w:r>
      <w:r w:rsidRPr="00B03809">
        <w:rPr>
          <w:i/>
          <w:sz w:val="22"/>
          <w:szCs w:val="22"/>
        </w:rPr>
        <w:t xml:space="preserve">H. pylori </w:t>
      </w:r>
      <w:r w:rsidRPr="00B03809">
        <w:rPr>
          <w:sz w:val="22"/>
          <w:szCs w:val="22"/>
        </w:rPr>
        <w:t>was found 72.3% in symptomatic population. The eradication rates for standard triple therapy, sequential therapy levofloxacin based therapy and moxifloxacin based therapy were 66.7%, 62.9%, 30.8% and 14.3% respectively. No association was found between SNP in TLR-2 Arg677Trp (C2029T) and null mutation</w:t>
      </w:r>
      <w:r w:rsidR="00DB6ACD" w:rsidRPr="00B03809">
        <w:rPr>
          <w:sz w:val="22"/>
          <w:szCs w:val="22"/>
        </w:rPr>
        <w:t>s</w:t>
      </w:r>
      <w:r w:rsidRPr="00B03809">
        <w:rPr>
          <w:sz w:val="22"/>
          <w:szCs w:val="22"/>
        </w:rPr>
        <w:t xml:space="preserve"> in GSST-1 genes with </w:t>
      </w:r>
      <w:r w:rsidRPr="00B03809">
        <w:rPr>
          <w:i/>
          <w:sz w:val="22"/>
          <w:szCs w:val="22"/>
        </w:rPr>
        <w:t xml:space="preserve">H. pylori </w:t>
      </w:r>
      <w:r w:rsidRPr="00B03809">
        <w:rPr>
          <w:sz w:val="22"/>
          <w:szCs w:val="22"/>
        </w:rPr>
        <w:t>infection (</w:t>
      </w:r>
      <w:r w:rsidRPr="00B03809">
        <w:rPr>
          <w:i/>
          <w:sz w:val="22"/>
          <w:szCs w:val="22"/>
        </w:rPr>
        <w:t>p&gt;</w:t>
      </w:r>
      <w:r w:rsidRPr="00B03809">
        <w:rPr>
          <w:sz w:val="22"/>
          <w:szCs w:val="22"/>
        </w:rPr>
        <w:t xml:space="preserve">0.05). </w:t>
      </w:r>
    </w:p>
    <w:p w:rsidR="00132645" w:rsidRPr="00B03809" w:rsidRDefault="00132645" w:rsidP="0017585B">
      <w:pPr>
        <w:pStyle w:val="yiv6670160790msonormal"/>
        <w:shd w:val="clear" w:color="auto" w:fill="FFFFFF"/>
        <w:spacing w:before="0" w:beforeAutospacing="0" w:after="0" w:afterAutospacing="0"/>
        <w:jc w:val="both"/>
        <w:rPr>
          <w:color w:val="000000"/>
          <w:sz w:val="22"/>
          <w:szCs w:val="22"/>
        </w:rPr>
      </w:pPr>
      <w:r w:rsidRPr="00B03809">
        <w:rPr>
          <w:b/>
          <w:bCs/>
          <w:color w:val="000000"/>
          <w:sz w:val="22"/>
          <w:szCs w:val="22"/>
        </w:rPr>
        <w:t>Conclusions</w:t>
      </w:r>
    </w:p>
    <w:p w:rsidR="00132645" w:rsidRPr="00B03809" w:rsidRDefault="00132645" w:rsidP="0017585B">
      <w:pPr>
        <w:pStyle w:val="yiv6670160790msonormal"/>
        <w:shd w:val="clear" w:color="auto" w:fill="FFFFFF"/>
        <w:spacing w:before="0" w:beforeAutospacing="0" w:after="0" w:afterAutospacing="0"/>
        <w:jc w:val="both"/>
        <w:rPr>
          <w:sz w:val="22"/>
          <w:szCs w:val="22"/>
        </w:rPr>
      </w:pPr>
      <w:r w:rsidRPr="00B03809">
        <w:rPr>
          <w:color w:val="000000"/>
          <w:sz w:val="22"/>
          <w:szCs w:val="22"/>
        </w:rPr>
        <w:t xml:space="preserve">The prevalence of H. pylori infection was very high in Pakistani population with gastro-duodenal diseases. </w:t>
      </w:r>
      <w:r w:rsidR="0017585B" w:rsidRPr="00B03809">
        <w:rPr>
          <w:color w:val="000000"/>
          <w:sz w:val="22"/>
          <w:szCs w:val="22"/>
        </w:rPr>
        <w:t>T</w:t>
      </w:r>
      <w:r w:rsidRPr="00B03809">
        <w:rPr>
          <w:color w:val="000000"/>
          <w:sz w:val="22"/>
          <w:szCs w:val="22"/>
        </w:rPr>
        <w:t xml:space="preserve">he resistance to prevailing first line and second line eradication therapies was also found very high in our region. </w:t>
      </w:r>
      <w:r w:rsidR="00EF28EF" w:rsidRPr="00B03809">
        <w:rPr>
          <w:sz w:val="22"/>
          <w:szCs w:val="22"/>
        </w:rPr>
        <w:t xml:space="preserve">Furthermore, gastro-duodenal disorders were not found associated with GSTM1 and GSTT1 null mutations as well as TLR-2 </w:t>
      </w:r>
      <w:r w:rsidR="0017585B" w:rsidRPr="00B03809">
        <w:rPr>
          <w:sz w:val="22"/>
          <w:szCs w:val="22"/>
        </w:rPr>
        <w:t>(</w:t>
      </w:r>
      <w:r w:rsidR="00EF28EF" w:rsidRPr="00B03809">
        <w:rPr>
          <w:sz w:val="22"/>
          <w:szCs w:val="22"/>
        </w:rPr>
        <w:t>Arg677Trp</w:t>
      </w:r>
      <w:r w:rsidR="0017585B" w:rsidRPr="00B03809">
        <w:rPr>
          <w:sz w:val="22"/>
          <w:szCs w:val="22"/>
        </w:rPr>
        <w:t>)</w:t>
      </w:r>
      <w:r w:rsidR="00EF28EF" w:rsidRPr="00B03809">
        <w:rPr>
          <w:sz w:val="22"/>
          <w:szCs w:val="22"/>
        </w:rPr>
        <w:t xml:space="preserve"> polymorphism.</w:t>
      </w:r>
    </w:p>
    <w:p w:rsidR="00F21E1C" w:rsidRPr="00B03809" w:rsidRDefault="00F21E1C" w:rsidP="00F21E1C">
      <w:pPr>
        <w:jc w:val="both"/>
        <w:rPr>
          <w:rFonts w:ascii="Times New Roman" w:hAnsi="Times New Roman" w:cs="Times New Roman"/>
          <w:b/>
        </w:rPr>
      </w:pPr>
    </w:p>
    <w:p w:rsidR="00F21E1C" w:rsidRPr="00B03809" w:rsidRDefault="00F21E1C" w:rsidP="00F21E1C">
      <w:pPr>
        <w:jc w:val="both"/>
        <w:rPr>
          <w:rFonts w:ascii="Times New Roman" w:hAnsi="Times New Roman" w:cs="Times New Roman"/>
          <w:b/>
        </w:rPr>
      </w:pPr>
      <w:r w:rsidRPr="00B03809">
        <w:rPr>
          <w:rFonts w:ascii="Times New Roman" w:hAnsi="Times New Roman" w:cs="Times New Roman"/>
          <w:b/>
        </w:rPr>
        <w:t>Biography</w:t>
      </w:r>
    </w:p>
    <w:p w:rsidR="00F21E1C" w:rsidRPr="00B03809" w:rsidRDefault="00F21E1C" w:rsidP="00F21E1C">
      <w:pPr>
        <w:jc w:val="both"/>
        <w:rPr>
          <w:rFonts w:ascii="Times New Roman" w:hAnsi="Times New Roman" w:cs="Times New Roman"/>
          <w:b/>
        </w:rPr>
      </w:pPr>
    </w:p>
    <w:p w:rsidR="00F21E1C" w:rsidRPr="00B03809" w:rsidRDefault="00F21E1C" w:rsidP="00F21E1C">
      <w:pPr>
        <w:jc w:val="both"/>
        <w:rPr>
          <w:rFonts w:ascii="Times New Roman" w:eastAsia="MS PGothic" w:hAnsi="Times New Roman" w:cs="Times New Roman"/>
          <w:b/>
          <w:color w:val="000000"/>
        </w:rPr>
      </w:pPr>
      <w:r w:rsidRPr="00B03809">
        <w:rPr>
          <w:rFonts w:ascii="Times New Roman" w:hAnsi="Times New Roman" w:cs="Times New Roman"/>
          <w:color w:val="000000"/>
        </w:rPr>
        <w:t>I am Faizan Rashid from Pakistan. I have done my masters in Medical Microbiology, 1 year Post Graduate Diploma in Community Health and Nutrition and 1 year Health Security Futures Fellowship with Health Security Partners, USA. Currently, I am serving as a Lecturer in University of Haripur, Pakistan</w:t>
      </w:r>
      <w:r w:rsidRPr="00B03809">
        <w:rPr>
          <w:rFonts w:ascii="Times New Roman" w:hAnsi="Times New Roman" w:cs="Times New Roman"/>
          <w:color w:val="000000"/>
        </w:rPr>
        <w:t xml:space="preserve"> and I am doing my PhD in Microbiology</w:t>
      </w:r>
      <w:r w:rsidRPr="00B03809">
        <w:rPr>
          <w:rFonts w:ascii="Times New Roman" w:hAnsi="Times New Roman" w:cs="Times New Roman"/>
          <w:color w:val="000000"/>
        </w:rPr>
        <w:t xml:space="preserve">. I am involved in research work in area of Medical Microbiology and </w:t>
      </w:r>
      <w:r w:rsidRPr="00B03809">
        <w:rPr>
          <w:rFonts w:ascii="Times New Roman" w:hAnsi="Times New Roman" w:cs="Times New Roman"/>
          <w:color w:val="000000"/>
        </w:rPr>
        <w:lastRenderedPageBreak/>
        <w:t>Biosafety. In addition, to this I am working as biosafety trainer in Pakistan Biological Safety Association"</w:t>
      </w:r>
      <w:r w:rsidRPr="00B03809">
        <w:rPr>
          <w:rFonts w:ascii="Times New Roman" w:hAnsi="Times New Roman" w:cs="Times New Roman"/>
        </w:rPr>
        <w:tab/>
      </w:r>
      <w:r w:rsidRPr="00B03809">
        <w:rPr>
          <w:rFonts w:ascii="Times New Roman" w:hAnsi="Times New Roman" w:cs="Times New Roman"/>
        </w:rPr>
        <w:br/>
      </w:r>
    </w:p>
    <w:p w:rsidR="00B03809" w:rsidRDefault="00F21E1C" w:rsidP="00B03809">
      <w:pPr>
        <w:autoSpaceDE w:val="0"/>
        <w:autoSpaceDN w:val="0"/>
        <w:adjustRightInd w:val="0"/>
        <w:rPr>
          <w:rFonts w:ascii="Times New Roman" w:hAnsi="Times New Roman" w:cs="Times New Roman"/>
          <w:lang w:val="en-NZ"/>
        </w:rPr>
      </w:pPr>
      <w:r w:rsidRPr="00B03809">
        <w:rPr>
          <w:rFonts w:ascii="Times New Roman" w:hAnsi="Times New Roman" w:cs="Times New Roman"/>
          <w:b/>
          <w:lang w:val="en-NZ"/>
        </w:rPr>
        <w:t xml:space="preserve">Presenting author details </w:t>
      </w:r>
      <w:r w:rsidRPr="00B03809">
        <w:rPr>
          <w:rFonts w:ascii="Times New Roman" w:hAnsi="Times New Roman" w:cs="Times New Roman"/>
          <w:b/>
          <w:lang w:val="en-NZ"/>
        </w:rPr>
        <w:br/>
      </w:r>
      <w:r w:rsidRPr="00B03809">
        <w:rPr>
          <w:rFonts w:ascii="Times New Roman" w:hAnsi="Times New Roman" w:cs="Times New Roman"/>
          <w:lang w:val="en-NZ"/>
        </w:rPr>
        <w:t xml:space="preserve">Full name: </w:t>
      </w:r>
      <w:r w:rsidRPr="00B03809">
        <w:rPr>
          <w:rFonts w:ascii="Times New Roman" w:hAnsi="Times New Roman" w:cs="Times New Roman"/>
          <w:lang w:val="en-NZ"/>
        </w:rPr>
        <w:t>Faizan Rashid</w:t>
      </w:r>
      <w:r w:rsidRPr="00B03809">
        <w:rPr>
          <w:rFonts w:ascii="Times New Roman" w:hAnsi="Times New Roman" w:cs="Times New Roman"/>
          <w:lang w:val="en-NZ"/>
        </w:rPr>
        <w:br/>
        <w:t>Contact number:</w:t>
      </w:r>
      <w:r w:rsidRPr="00B03809">
        <w:rPr>
          <w:rFonts w:ascii="Times New Roman" w:hAnsi="Times New Roman" w:cs="Times New Roman"/>
          <w:lang w:val="en-NZ"/>
        </w:rPr>
        <w:t xml:space="preserve"> +923315497064</w:t>
      </w:r>
      <w:r w:rsidRPr="00B03809">
        <w:rPr>
          <w:rFonts w:ascii="Times New Roman" w:hAnsi="Times New Roman" w:cs="Times New Roman"/>
          <w:lang w:val="en-NZ"/>
        </w:rPr>
        <w:br/>
        <w:t>Twitter account:</w:t>
      </w:r>
      <w:r w:rsidRPr="00B03809">
        <w:rPr>
          <w:rFonts w:ascii="Times New Roman" w:hAnsi="Times New Roman" w:cs="Times New Roman"/>
          <w:lang w:val="en-NZ"/>
        </w:rPr>
        <w:t xml:space="preserve"> </w:t>
      </w:r>
      <w:r w:rsidR="00496652" w:rsidRPr="00B03809">
        <w:rPr>
          <w:rFonts w:ascii="Times New Roman" w:hAnsi="Times New Roman" w:cs="Times New Roman"/>
          <w:lang w:val="en-NZ"/>
        </w:rPr>
        <w:t>https://twitter.com/FaizanRashid92</w:t>
      </w:r>
      <w:r w:rsidRPr="00B03809">
        <w:rPr>
          <w:rFonts w:ascii="Times New Roman" w:hAnsi="Times New Roman" w:cs="Times New Roman"/>
          <w:lang w:val="en-NZ"/>
        </w:rPr>
        <w:br/>
        <w:t>Linked In account:</w:t>
      </w:r>
      <w:r w:rsidR="00496652" w:rsidRPr="00B03809">
        <w:rPr>
          <w:rFonts w:ascii="Times New Roman" w:hAnsi="Times New Roman" w:cs="Times New Roman"/>
          <w:lang w:val="en-NZ"/>
        </w:rPr>
        <w:t xml:space="preserve"> </w:t>
      </w:r>
      <w:hyperlink r:id="rId4" w:history="1">
        <w:r w:rsidR="00B03809" w:rsidRPr="004C2ACF">
          <w:rPr>
            <w:rStyle w:val="Hyperlink"/>
            <w:rFonts w:ascii="Times New Roman" w:hAnsi="Times New Roman" w:cs="Times New Roman"/>
            <w:lang w:val="en-NZ"/>
          </w:rPr>
          <w:t>https://www.linkedin.com/in/faizan-rashid-b8b5a965/</w:t>
        </w:r>
      </w:hyperlink>
    </w:p>
    <w:p w:rsidR="00F21E1C" w:rsidRPr="00B03809" w:rsidRDefault="00F21E1C" w:rsidP="00B03809">
      <w:pPr>
        <w:autoSpaceDE w:val="0"/>
        <w:autoSpaceDN w:val="0"/>
        <w:adjustRightInd w:val="0"/>
        <w:rPr>
          <w:rFonts w:ascii="Times New Roman" w:hAnsi="Times New Roman" w:cs="Times New Roman"/>
          <w:b/>
          <w:lang w:val="en-NZ"/>
        </w:rPr>
      </w:pPr>
      <w:bookmarkStart w:id="0" w:name="_GoBack"/>
      <w:bookmarkEnd w:id="0"/>
      <w:r w:rsidRPr="00B03809">
        <w:rPr>
          <w:rFonts w:ascii="Times New Roman" w:hAnsi="Times New Roman" w:cs="Times New Roman"/>
          <w:lang w:val="en-NZ"/>
        </w:rPr>
        <w:t>Session</w:t>
      </w:r>
      <w:r w:rsidRPr="00B03809">
        <w:rPr>
          <w:rFonts w:ascii="Times New Roman" w:hAnsi="Times New Roman" w:cs="Times New Roman"/>
          <w:lang w:val="en-NZ"/>
        </w:rPr>
        <w:t xml:space="preserve"> </w:t>
      </w:r>
      <w:r w:rsidRPr="00B03809">
        <w:rPr>
          <w:rFonts w:ascii="Times New Roman" w:hAnsi="Times New Roman" w:cs="Times New Roman"/>
          <w:lang w:val="en-NZ"/>
        </w:rPr>
        <w:t>name</w:t>
      </w:r>
      <w:r w:rsidR="00496652" w:rsidRPr="00B03809">
        <w:rPr>
          <w:rFonts w:ascii="Times New Roman" w:hAnsi="Times New Roman" w:cs="Times New Roman"/>
          <w:lang w:val="en-NZ"/>
        </w:rPr>
        <w:t>: Medical Microbiology</w:t>
      </w:r>
    </w:p>
    <w:p w:rsidR="00E17A7F" w:rsidRPr="00B03809" w:rsidRDefault="00E17A7F" w:rsidP="0017585B">
      <w:pPr>
        <w:autoSpaceDE w:val="0"/>
        <w:autoSpaceDN w:val="0"/>
        <w:adjustRightInd w:val="0"/>
        <w:spacing w:after="0" w:line="240" w:lineRule="auto"/>
        <w:jc w:val="both"/>
        <w:rPr>
          <w:rFonts w:ascii="Times New Roman" w:hAnsi="Times New Roman" w:cs="Times New Roman"/>
        </w:rPr>
      </w:pPr>
    </w:p>
    <w:p w:rsidR="00E17A7F" w:rsidRPr="00B03809" w:rsidRDefault="00E17A7F" w:rsidP="0017585B">
      <w:pPr>
        <w:autoSpaceDE w:val="0"/>
        <w:autoSpaceDN w:val="0"/>
        <w:adjustRightInd w:val="0"/>
        <w:spacing w:after="0" w:line="240" w:lineRule="auto"/>
        <w:jc w:val="both"/>
        <w:rPr>
          <w:rFonts w:ascii="Times New Roman" w:hAnsi="Times New Roman" w:cs="Times New Roman"/>
        </w:rPr>
      </w:pPr>
    </w:p>
    <w:sectPr w:rsidR="00E17A7F" w:rsidRPr="00B038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76"/>
    <w:rsid w:val="00132645"/>
    <w:rsid w:val="0017585B"/>
    <w:rsid w:val="001E385B"/>
    <w:rsid w:val="001E5179"/>
    <w:rsid w:val="003345CD"/>
    <w:rsid w:val="00496652"/>
    <w:rsid w:val="005D74A4"/>
    <w:rsid w:val="00627CFD"/>
    <w:rsid w:val="00747776"/>
    <w:rsid w:val="007A6A28"/>
    <w:rsid w:val="0084114A"/>
    <w:rsid w:val="00B03809"/>
    <w:rsid w:val="00CC2A9B"/>
    <w:rsid w:val="00DB6ACD"/>
    <w:rsid w:val="00DF6CD8"/>
    <w:rsid w:val="00E17A7F"/>
    <w:rsid w:val="00E46206"/>
    <w:rsid w:val="00E65DF6"/>
    <w:rsid w:val="00EF28EF"/>
    <w:rsid w:val="00F21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E99D"/>
  <w15:chartTrackingRefBased/>
  <w15:docId w15:val="{0E032FDC-87F8-415C-93BC-BCB43C762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aliases w:val="title"/>
    <w:basedOn w:val="Normal"/>
    <w:next w:val="Normal"/>
    <w:link w:val="Heading1Char"/>
    <w:uiPriority w:val="9"/>
    <w:qFormat/>
    <w:rsid w:val="00F21E1C"/>
    <w:pPr>
      <w:keepNext/>
      <w:spacing w:after="0" w:line="240" w:lineRule="auto"/>
      <w:jc w:val="center"/>
      <w:outlineLvl w:val="0"/>
    </w:pPr>
    <w:rPr>
      <w:rFonts w:ascii="Cambria" w:eastAsia="Times New Roman" w:hAnsi="Cambria" w:cs="Gautami"/>
      <w:b/>
      <w:bCs/>
      <w:kern w:val="32"/>
      <w:sz w:val="32"/>
      <w:szCs w:val="32"/>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6670160790msonormal">
    <w:name w:val="yiv6670160790msonormal"/>
    <w:basedOn w:val="Normal"/>
    <w:rsid w:val="001326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32645"/>
  </w:style>
  <w:style w:type="character" w:customStyle="1" w:styleId="Heading1Char">
    <w:name w:val="Heading 1 Char"/>
    <w:aliases w:val="title Char"/>
    <w:basedOn w:val="DefaultParagraphFont"/>
    <w:link w:val="Heading1"/>
    <w:uiPriority w:val="9"/>
    <w:rsid w:val="00F21E1C"/>
    <w:rPr>
      <w:rFonts w:ascii="Cambria" w:eastAsia="Times New Roman" w:hAnsi="Cambria" w:cs="Gautami"/>
      <w:b/>
      <w:bCs/>
      <w:kern w:val="32"/>
      <w:sz w:val="32"/>
      <w:szCs w:val="32"/>
      <w:lang w:val="x-none" w:eastAsia="x-none" w:bidi="te-IN"/>
    </w:rPr>
  </w:style>
  <w:style w:type="character" w:styleId="Hyperlink">
    <w:name w:val="Hyperlink"/>
    <w:basedOn w:val="DefaultParagraphFont"/>
    <w:uiPriority w:val="99"/>
    <w:unhideWhenUsed/>
    <w:rsid w:val="00B03809"/>
    <w:rPr>
      <w:color w:val="0563C1" w:themeColor="hyperlink"/>
      <w:u w:val="single"/>
    </w:rPr>
  </w:style>
  <w:style w:type="character" w:styleId="Mention">
    <w:name w:val="Mention"/>
    <w:basedOn w:val="DefaultParagraphFont"/>
    <w:uiPriority w:val="99"/>
    <w:semiHidden/>
    <w:unhideWhenUsed/>
    <w:rsid w:val="00B0380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826991">
      <w:bodyDiv w:val="1"/>
      <w:marLeft w:val="0"/>
      <w:marRight w:val="0"/>
      <w:marTop w:val="0"/>
      <w:marBottom w:val="0"/>
      <w:divBdr>
        <w:top w:val="none" w:sz="0" w:space="0" w:color="auto"/>
        <w:left w:val="none" w:sz="0" w:space="0" w:color="auto"/>
        <w:bottom w:val="none" w:sz="0" w:space="0" w:color="auto"/>
        <w:right w:val="none" w:sz="0" w:space="0" w:color="auto"/>
      </w:divBdr>
    </w:div>
    <w:div w:id="179687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faizan-rashid-b8b5a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Faizan</dc:creator>
  <cp:keywords/>
  <dc:description/>
  <cp:lastModifiedBy>Faizan</cp:lastModifiedBy>
  <cp:revision>2</cp:revision>
  <dcterms:created xsi:type="dcterms:W3CDTF">2017-07-16T07:48:00Z</dcterms:created>
  <dcterms:modified xsi:type="dcterms:W3CDTF">2017-07-16T07:48:00Z</dcterms:modified>
</cp:coreProperties>
</file>