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8F7" w:rsidRDefault="001248F7" w:rsidP="001248F7">
      <w:pPr>
        <w:spacing w:beforeLines="30" w:afterLines="30"/>
        <w:jc w:val="both"/>
        <w:rPr>
          <w:rFonts w:ascii="Times New Roman" w:hAnsi="Times New Roman" w:hint="eastAsia"/>
          <w:b/>
          <w:szCs w:val="24"/>
        </w:rPr>
      </w:pPr>
      <w:r>
        <w:rPr>
          <w:rFonts w:ascii="Times New Roman" w:hAnsi="Times New Roman"/>
          <w:b/>
          <w:szCs w:val="24"/>
        </w:rPr>
        <w:t>Identification of the causative agents for diarrhea in piglets from a Taiwanese pig farm</w:t>
      </w:r>
    </w:p>
    <w:p w:rsidR="001248F7" w:rsidRDefault="001248F7" w:rsidP="001248F7">
      <w:pPr>
        <w:spacing w:beforeLines="30" w:afterLines="30"/>
        <w:jc w:val="both"/>
        <w:rPr>
          <w:rFonts w:ascii="Times New Roman" w:hAnsi="Times New Roman" w:hint="eastAsia"/>
          <w:szCs w:val="24"/>
          <w:vertAlign w:val="superscript"/>
        </w:rPr>
      </w:pPr>
      <w:r>
        <w:rPr>
          <w:rFonts w:ascii="Times New Roman" w:hAnsi="Times New Roman"/>
          <w:szCs w:val="24"/>
        </w:rPr>
        <w:t>Chuan-Shun Lin</w:t>
      </w:r>
      <w:r>
        <w:rPr>
          <w:rFonts w:ascii="Times New Roman" w:hAnsi="Times New Roman"/>
          <w:szCs w:val="24"/>
          <w:vertAlign w:val="superscript"/>
        </w:rPr>
        <w:t>a</w:t>
      </w:r>
      <w:r>
        <w:rPr>
          <w:rFonts w:ascii="Times New Roman" w:hAnsi="Times New Roman"/>
          <w:szCs w:val="24"/>
        </w:rPr>
        <w:t>, Chiao-Hsia Huang</w:t>
      </w:r>
      <w:r>
        <w:rPr>
          <w:rFonts w:ascii="Times New Roman" w:hAnsi="Times New Roman"/>
          <w:szCs w:val="24"/>
          <w:vertAlign w:val="superscript"/>
        </w:rPr>
        <w:t>b</w:t>
      </w:r>
      <w:r>
        <w:rPr>
          <w:rFonts w:ascii="Times New Roman" w:hAnsi="Times New Roman"/>
          <w:szCs w:val="24"/>
        </w:rPr>
        <w:t>, Yen-Ti Cheng</w:t>
      </w:r>
      <w:r>
        <w:rPr>
          <w:rFonts w:ascii="Times New Roman" w:hAnsi="Times New Roman"/>
          <w:szCs w:val="24"/>
          <w:vertAlign w:val="superscript"/>
        </w:rPr>
        <w:t>b</w:t>
      </w:r>
      <w:r>
        <w:rPr>
          <w:rFonts w:ascii="Times New Roman" w:hAnsi="Times New Roman"/>
          <w:szCs w:val="24"/>
        </w:rPr>
        <w:t>, Jiann-Hwa Chen</w:t>
      </w:r>
      <w:r>
        <w:rPr>
          <w:rFonts w:ascii="Times New Roman" w:hAnsi="Times New Roman"/>
          <w:szCs w:val="24"/>
          <w:vertAlign w:val="superscript"/>
        </w:rPr>
        <w:t>b, *</w:t>
      </w:r>
    </w:p>
    <w:p w:rsidR="001248F7" w:rsidRDefault="001248F7" w:rsidP="001248F7">
      <w:pPr>
        <w:spacing w:beforeLines="30" w:afterLines="30"/>
        <w:jc w:val="both"/>
        <w:rPr>
          <w:rFonts w:ascii="Times New Roman" w:hAnsi="Times New Roman" w:hint="eastAsia"/>
          <w:szCs w:val="24"/>
        </w:rPr>
      </w:pPr>
      <w:r>
        <w:rPr>
          <w:rFonts w:ascii="Times New Roman" w:hAnsi="Times New Roman"/>
          <w:szCs w:val="24"/>
          <w:vertAlign w:val="superscript"/>
        </w:rPr>
        <w:t>a</w:t>
      </w:r>
      <w:r>
        <w:rPr>
          <w:rFonts w:ascii="Times New Roman" w:hAnsi="Times New Roman"/>
          <w:szCs w:val="24"/>
        </w:rPr>
        <w:t xml:space="preserve">Division of Animal Industry, Agricultural Technology Research Institute, </w:t>
      </w:r>
      <w:r>
        <w:rPr>
          <w:rFonts w:ascii="Times New Roman" w:hAnsi="Times New Roman"/>
          <w:szCs w:val="24"/>
          <w:vertAlign w:val="superscript"/>
        </w:rPr>
        <w:t>b</w:t>
      </w:r>
      <w:r>
        <w:rPr>
          <w:rFonts w:ascii="Times New Roman" w:hAnsi="Times New Roman"/>
          <w:szCs w:val="24"/>
        </w:rPr>
        <w:t>Institute of Molecular Biology, National Chung Hsing University, Taiwan</w:t>
      </w:r>
    </w:p>
    <w:p w:rsidR="001248F7" w:rsidRDefault="001248F7" w:rsidP="001248F7">
      <w:pPr>
        <w:widowControl/>
        <w:shd w:val="clear" w:color="auto" w:fill="FFFFFF"/>
        <w:spacing w:before="90" w:after="90" w:line="270" w:lineRule="atLeast"/>
        <w:ind w:firstLineChars="250" w:firstLine="600"/>
        <w:outlineLvl w:val="0"/>
        <w:rPr>
          <w:rFonts w:ascii="Times New Roman" w:eastAsia="標楷體" w:hAnsi="Times New Roman" w:hint="eastAsia"/>
          <w:kern w:val="0"/>
          <w:szCs w:val="24"/>
        </w:rPr>
      </w:pPr>
    </w:p>
    <w:p w:rsidR="001248F7" w:rsidRDefault="001248F7" w:rsidP="001248F7">
      <w:pPr>
        <w:widowControl/>
        <w:shd w:val="clear" w:color="auto" w:fill="FFFFFF"/>
        <w:spacing w:before="90" w:after="90" w:line="270" w:lineRule="atLeast"/>
        <w:ind w:firstLineChars="250" w:firstLine="600"/>
        <w:outlineLvl w:val="0"/>
        <w:rPr>
          <w:rFonts w:ascii="Times New Roman" w:eastAsia="標楷體" w:hAnsi="Times New Roman"/>
          <w:kern w:val="0"/>
          <w:szCs w:val="24"/>
        </w:rPr>
      </w:pPr>
      <w:r>
        <w:rPr>
          <w:rFonts w:ascii="Times New Roman" w:eastAsia="標楷體" w:hAnsi="Times New Roman"/>
          <w:kern w:val="0"/>
          <w:szCs w:val="24"/>
        </w:rPr>
        <w:t xml:space="preserve">Postweaning diarrhea (PWD) of weaned piglets was found to frequently occur in a commercial pig farm in western Taiwan.  The purpose of this study was to find and characterize the causative agents.  From September 11, 2014 to February 11, 2015, 15 stool samples from healthy piglets and 58 rectal swab specimens from diarrheic piglets were collected from the pig farm, and 26 and 100 </w:t>
      </w:r>
      <w:r>
        <w:rPr>
          <w:rFonts w:ascii="Times New Roman" w:eastAsia="標楷體" w:hAnsi="Times New Roman"/>
          <w:i/>
          <w:kern w:val="0"/>
          <w:szCs w:val="24"/>
        </w:rPr>
        <w:t>E. coli</w:t>
      </w:r>
      <w:r>
        <w:rPr>
          <w:rFonts w:ascii="Times New Roman" w:eastAsia="標楷體" w:hAnsi="Times New Roman"/>
          <w:kern w:val="0"/>
          <w:szCs w:val="24"/>
        </w:rPr>
        <w:t xml:space="preserve"> strains were isolated independently.  These 126 strains were checked by PCR for genes of six virulence factors: heat-labile enterotoxin (LT; encoded by</w:t>
      </w:r>
      <w:r>
        <w:rPr>
          <w:rFonts w:ascii="Times New Roman" w:eastAsia="標楷體" w:hAnsi="Times New Roman"/>
          <w:i/>
          <w:kern w:val="0"/>
          <w:szCs w:val="24"/>
        </w:rPr>
        <w:t xml:space="preserve"> eltAB</w:t>
      </w:r>
      <w:r>
        <w:rPr>
          <w:rFonts w:ascii="Times New Roman" w:eastAsia="標楷體" w:hAnsi="Times New Roman"/>
          <w:kern w:val="0"/>
          <w:szCs w:val="24"/>
        </w:rPr>
        <w:t xml:space="preserve">), heat- stable enterotoxin A (STa; encoded by </w:t>
      </w:r>
      <w:r>
        <w:rPr>
          <w:rFonts w:ascii="Times New Roman" w:eastAsia="標楷體" w:hAnsi="Times New Roman"/>
          <w:i/>
          <w:kern w:val="0"/>
          <w:szCs w:val="24"/>
        </w:rPr>
        <w:t>estA</w:t>
      </w:r>
      <w:r>
        <w:rPr>
          <w:rFonts w:ascii="Times New Roman" w:eastAsia="標楷體" w:hAnsi="Times New Roman"/>
          <w:kern w:val="0"/>
          <w:szCs w:val="24"/>
        </w:rPr>
        <w:t>), heat- stable enterotoxin B (STb; encoded by</w:t>
      </w:r>
      <w:r>
        <w:rPr>
          <w:rFonts w:ascii="Times New Roman" w:eastAsia="標楷體" w:hAnsi="Times New Roman"/>
          <w:i/>
          <w:kern w:val="0"/>
          <w:szCs w:val="24"/>
        </w:rPr>
        <w:t xml:space="preserve"> estB</w:t>
      </w:r>
      <w:r>
        <w:rPr>
          <w:rFonts w:ascii="Times New Roman" w:eastAsia="標楷體" w:hAnsi="Times New Roman"/>
          <w:kern w:val="0"/>
          <w:szCs w:val="24"/>
        </w:rPr>
        <w:t xml:space="preserve">), </w:t>
      </w:r>
      <w:r>
        <w:rPr>
          <w:rFonts w:ascii="Times New Roman" w:hAnsi="Times New Roman"/>
          <w:szCs w:val="24"/>
          <w:shd w:val="clear" w:color="auto" w:fill="FFFFFF"/>
        </w:rPr>
        <w:t>enteroaggregative</w:t>
      </w:r>
      <w:r>
        <w:rPr>
          <w:rFonts w:ascii="Times New Roman" w:hAnsi="Times New Roman"/>
          <w:i/>
          <w:szCs w:val="24"/>
          <w:shd w:val="clear" w:color="auto" w:fill="FFFFFF"/>
        </w:rPr>
        <w:t xml:space="preserve"> E. coli</w:t>
      </w:r>
      <w:r>
        <w:rPr>
          <w:rFonts w:ascii="Times New Roman" w:hAnsi="Times New Roman"/>
          <w:szCs w:val="24"/>
          <w:shd w:val="clear" w:color="auto" w:fill="FFFFFF"/>
        </w:rPr>
        <w:t xml:space="preserve"> heat-stable enterotoxin 1 (EAST1; </w:t>
      </w:r>
      <w:r>
        <w:rPr>
          <w:rFonts w:ascii="Times New Roman" w:eastAsia="標楷體" w:hAnsi="Times New Roman"/>
          <w:kern w:val="0"/>
          <w:szCs w:val="24"/>
        </w:rPr>
        <w:t>encoded by</w:t>
      </w:r>
      <w:r>
        <w:rPr>
          <w:rFonts w:ascii="Times New Roman" w:eastAsia="標楷體" w:hAnsi="Times New Roman"/>
          <w:i/>
          <w:kern w:val="0"/>
          <w:szCs w:val="24"/>
        </w:rPr>
        <w:t xml:space="preserve"> astA</w:t>
      </w:r>
      <w:r>
        <w:rPr>
          <w:rFonts w:ascii="Times New Roman" w:eastAsia="標楷體" w:hAnsi="Times New Roman"/>
          <w:kern w:val="0"/>
          <w:szCs w:val="24"/>
        </w:rPr>
        <w:t>) and Shiga toxin 2e (</w:t>
      </w:r>
      <w:r>
        <w:rPr>
          <w:rFonts w:ascii="Times New Roman" w:hAnsi="Times New Roman"/>
          <w:szCs w:val="24"/>
          <w:shd w:val="clear" w:color="auto" w:fill="FFFFFF"/>
        </w:rPr>
        <w:t xml:space="preserve">Stx2e; </w:t>
      </w:r>
      <w:r>
        <w:rPr>
          <w:rFonts w:ascii="Times New Roman" w:eastAsia="標楷體" w:hAnsi="Times New Roman"/>
          <w:kern w:val="0"/>
          <w:szCs w:val="24"/>
        </w:rPr>
        <w:t>encoded by</w:t>
      </w:r>
      <w:r>
        <w:rPr>
          <w:rFonts w:ascii="Times New Roman" w:hAnsi="Times New Roman"/>
          <w:i/>
          <w:szCs w:val="24"/>
          <w:shd w:val="clear" w:color="auto" w:fill="FFFFFF"/>
        </w:rPr>
        <w:t xml:space="preserve"> stx</w:t>
      </w:r>
      <w:r>
        <w:rPr>
          <w:rFonts w:ascii="Times New Roman" w:hAnsi="Times New Roman"/>
          <w:i/>
          <w:szCs w:val="24"/>
          <w:shd w:val="clear" w:color="auto" w:fill="FFFFFF"/>
          <w:vertAlign w:val="subscript"/>
        </w:rPr>
        <w:t>2e</w:t>
      </w:r>
      <w:r>
        <w:rPr>
          <w:rFonts w:ascii="Times New Roman" w:hAnsi="Times New Roman"/>
          <w:szCs w:val="24"/>
          <w:shd w:val="clear" w:color="auto" w:fill="FFFFFF"/>
        </w:rPr>
        <w:t>)</w:t>
      </w:r>
      <w:r>
        <w:rPr>
          <w:rFonts w:ascii="Times New Roman" w:eastAsia="標楷體" w:hAnsi="Times New Roman"/>
          <w:kern w:val="0"/>
          <w:szCs w:val="24"/>
        </w:rPr>
        <w:t>, and F18 fimbriae (encoded by</w:t>
      </w:r>
      <w:r>
        <w:rPr>
          <w:rFonts w:ascii="Times New Roman" w:hAnsi="Times New Roman"/>
          <w:i/>
          <w:szCs w:val="24"/>
        </w:rPr>
        <w:t xml:space="preserve"> fedA</w:t>
      </w:r>
      <w:r>
        <w:rPr>
          <w:rFonts w:ascii="Times New Roman" w:eastAsia="標楷體" w:hAnsi="Times New Roman"/>
          <w:kern w:val="0"/>
          <w:szCs w:val="24"/>
        </w:rPr>
        <w:t xml:space="preserve">); </w:t>
      </w:r>
      <w:r>
        <w:rPr>
          <w:rFonts w:ascii="Times New Roman" w:hAnsi="Times New Roman"/>
          <w:szCs w:val="24"/>
        </w:rPr>
        <w:t xml:space="preserve">secretion of </w:t>
      </w:r>
      <w:r>
        <w:rPr>
          <w:rFonts w:ascii="Times New Roman" w:hAnsi="Times New Roman"/>
          <w:szCs w:val="24"/>
          <w:shd w:val="clear" w:color="auto" w:fill="FFFFFF"/>
        </w:rPr>
        <w:t xml:space="preserve">LT and ST were also examined by ELISA-based commercial </w:t>
      </w:r>
      <w:r>
        <w:rPr>
          <w:rFonts w:ascii="Times New Roman" w:eastAsia="標楷體" w:hAnsi="Times New Roman"/>
          <w:kern w:val="0"/>
          <w:szCs w:val="24"/>
        </w:rPr>
        <w:t xml:space="preserve">kits.  None of the 126 strains were carrying </w:t>
      </w:r>
      <w:r>
        <w:rPr>
          <w:rFonts w:ascii="Times New Roman" w:hAnsi="Times New Roman"/>
          <w:i/>
          <w:szCs w:val="24"/>
          <w:shd w:val="clear" w:color="auto" w:fill="FFFFFF"/>
        </w:rPr>
        <w:t>stx</w:t>
      </w:r>
      <w:r>
        <w:rPr>
          <w:rFonts w:ascii="Times New Roman" w:hAnsi="Times New Roman"/>
          <w:i/>
          <w:szCs w:val="24"/>
          <w:shd w:val="clear" w:color="auto" w:fill="FFFFFF"/>
          <w:vertAlign w:val="subscript"/>
        </w:rPr>
        <w:t>2e</w:t>
      </w:r>
      <w:r>
        <w:rPr>
          <w:rFonts w:ascii="Times New Roman" w:hAnsi="Times New Roman"/>
          <w:szCs w:val="24"/>
          <w:shd w:val="clear" w:color="auto" w:fill="FFFFFF"/>
        </w:rPr>
        <w:t xml:space="preserve">.  </w:t>
      </w:r>
      <w:r>
        <w:rPr>
          <w:rFonts w:ascii="Times New Roman" w:eastAsia="標楷體" w:hAnsi="Times New Roman"/>
          <w:kern w:val="0"/>
          <w:szCs w:val="24"/>
        </w:rPr>
        <w:t xml:space="preserve">Of the 26 strains recovered from healthy piglets, none carried </w:t>
      </w:r>
      <w:r>
        <w:rPr>
          <w:rFonts w:ascii="Times New Roman" w:hAnsi="Times New Roman"/>
          <w:i/>
          <w:szCs w:val="24"/>
        </w:rPr>
        <w:t>fedA</w:t>
      </w:r>
      <w:r>
        <w:rPr>
          <w:rFonts w:ascii="Times New Roman" w:eastAsia="標楷體" w:hAnsi="Times New Roman"/>
          <w:kern w:val="0"/>
          <w:szCs w:val="24"/>
        </w:rPr>
        <w:t xml:space="preserve"> nor secreted LT, 23% (6/26) secreted ST, and 50% (13/26) carried </w:t>
      </w:r>
      <w:r>
        <w:rPr>
          <w:rFonts w:ascii="Times New Roman" w:eastAsia="標楷體" w:hAnsi="Times New Roman"/>
          <w:i/>
          <w:kern w:val="0"/>
          <w:szCs w:val="24"/>
        </w:rPr>
        <w:t>astA</w:t>
      </w:r>
      <w:r>
        <w:rPr>
          <w:rFonts w:ascii="Times New Roman" w:eastAsia="標楷體" w:hAnsi="Times New Roman"/>
          <w:kern w:val="0"/>
          <w:szCs w:val="24"/>
        </w:rPr>
        <w:t xml:space="preserve">.  In contrast, of the 100 </w:t>
      </w:r>
      <w:r>
        <w:rPr>
          <w:rFonts w:ascii="Times New Roman" w:eastAsia="標楷體" w:hAnsi="Times New Roman"/>
          <w:i/>
          <w:kern w:val="0"/>
          <w:szCs w:val="24"/>
        </w:rPr>
        <w:t>E. coli s</w:t>
      </w:r>
      <w:r>
        <w:rPr>
          <w:rFonts w:ascii="Times New Roman" w:eastAsia="標楷體" w:hAnsi="Times New Roman"/>
          <w:kern w:val="0"/>
          <w:szCs w:val="24"/>
        </w:rPr>
        <w:t xml:space="preserve">trains recovered from diarrheic piglets, 41% (41/100) carried </w:t>
      </w:r>
      <w:r>
        <w:rPr>
          <w:rFonts w:ascii="Times New Roman" w:hAnsi="Times New Roman"/>
          <w:i/>
          <w:szCs w:val="24"/>
        </w:rPr>
        <w:t>fedA</w:t>
      </w:r>
      <w:r>
        <w:rPr>
          <w:rFonts w:ascii="Times New Roman" w:eastAsia="標楷體" w:hAnsi="Times New Roman"/>
          <w:kern w:val="0"/>
          <w:szCs w:val="24"/>
        </w:rPr>
        <w:t xml:space="preserve">, of which 88% (36/41) secreted both LT and ST, but none carried </w:t>
      </w:r>
      <w:r>
        <w:rPr>
          <w:rFonts w:ascii="Times New Roman" w:eastAsia="標楷體" w:hAnsi="Times New Roman"/>
          <w:i/>
          <w:kern w:val="0"/>
          <w:szCs w:val="24"/>
        </w:rPr>
        <w:t>astA</w:t>
      </w:r>
      <w:r>
        <w:rPr>
          <w:rFonts w:ascii="Times New Roman" w:eastAsia="標楷體" w:hAnsi="Times New Roman"/>
          <w:kern w:val="0"/>
          <w:szCs w:val="24"/>
        </w:rPr>
        <w:t xml:space="preserve">.  Thus, the main causative agent for PWD in this Taiwanese pig farm was identified to be the F18 fimbriae-positive, LT and ST secretion-positive enterotoxigenic </w:t>
      </w:r>
      <w:r>
        <w:rPr>
          <w:rFonts w:ascii="Times New Roman" w:eastAsia="標楷體" w:hAnsi="Times New Roman"/>
          <w:i/>
          <w:kern w:val="0"/>
          <w:szCs w:val="24"/>
        </w:rPr>
        <w:t>E. coli</w:t>
      </w:r>
      <w:r>
        <w:rPr>
          <w:rFonts w:ascii="Times New Roman" w:eastAsia="標楷體" w:hAnsi="Times New Roman"/>
          <w:kern w:val="0"/>
          <w:szCs w:val="24"/>
        </w:rPr>
        <w:t xml:space="preserve">, which were carrying </w:t>
      </w:r>
      <w:r>
        <w:rPr>
          <w:rFonts w:ascii="Times New Roman" w:eastAsia="標楷體" w:hAnsi="Times New Roman"/>
          <w:i/>
          <w:kern w:val="0"/>
          <w:szCs w:val="24"/>
        </w:rPr>
        <w:t>fedA</w:t>
      </w:r>
      <w:r>
        <w:rPr>
          <w:rFonts w:ascii="Times New Roman" w:eastAsia="標楷體" w:hAnsi="Times New Roman"/>
          <w:kern w:val="0"/>
          <w:szCs w:val="24"/>
        </w:rPr>
        <w:t>,</w:t>
      </w:r>
      <w:r>
        <w:rPr>
          <w:rFonts w:ascii="Times New Roman" w:eastAsia="標楷體" w:hAnsi="Times New Roman"/>
          <w:i/>
          <w:kern w:val="0"/>
          <w:szCs w:val="24"/>
        </w:rPr>
        <w:t xml:space="preserve"> eltAB</w:t>
      </w:r>
      <w:r>
        <w:rPr>
          <w:rFonts w:ascii="Times New Roman" w:eastAsia="標楷體" w:hAnsi="Times New Roman"/>
          <w:kern w:val="0"/>
          <w:szCs w:val="24"/>
        </w:rPr>
        <w:t xml:space="preserve">, </w:t>
      </w:r>
      <w:r>
        <w:rPr>
          <w:rFonts w:ascii="Times New Roman" w:eastAsia="標楷體" w:hAnsi="Times New Roman"/>
          <w:i/>
          <w:kern w:val="0"/>
          <w:szCs w:val="24"/>
        </w:rPr>
        <w:t xml:space="preserve">estA </w:t>
      </w:r>
      <w:r>
        <w:rPr>
          <w:rFonts w:ascii="Times New Roman" w:eastAsia="標楷體" w:hAnsi="Times New Roman"/>
          <w:kern w:val="0"/>
          <w:szCs w:val="24"/>
        </w:rPr>
        <w:t>and</w:t>
      </w:r>
      <w:r>
        <w:rPr>
          <w:rFonts w:ascii="Times New Roman" w:eastAsia="標楷體" w:hAnsi="Times New Roman"/>
          <w:i/>
          <w:kern w:val="0"/>
          <w:szCs w:val="24"/>
        </w:rPr>
        <w:t xml:space="preserve"> estB</w:t>
      </w:r>
      <w:r>
        <w:rPr>
          <w:rFonts w:ascii="Times New Roman" w:eastAsia="標楷體" w:hAnsi="Times New Roman"/>
          <w:b/>
          <w:kern w:val="0"/>
          <w:szCs w:val="24"/>
        </w:rPr>
        <w:t xml:space="preserve">, </w:t>
      </w:r>
      <w:r>
        <w:rPr>
          <w:rFonts w:ascii="Times New Roman" w:eastAsia="標楷體" w:hAnsi="Times New Roman"/>
          <w:kern w:val="0"/>
          <w:szCs w:val="24"/>
        </w:rPr>
        <w:t xml:space="preserve">but not </w:t>
      </w:r>
      <w:r>
        <w:rPr>
          <w:rFonts w:ascii="Times New Roman" w:eastAsia="標楷體" w:hAnsi="Times New Roman"/>
          <w:i/>
          <w:kern w:val="0"/>
          <w:szCs w:val="24"/>
        </w:rPr>
        <w:t>astA</w:t>
      </w:r>
      <w:r>
        <w:rPr>
          <w:rFonts w:ascii="Times New Roman" w:eastAsia="標楷體" w:hAnsi="Times New Roman"/>
          <w:kern w:val="0"/>
          <w:szCs w:val="24"/>
        </w:rPr>
        <w:t xml:space="preserve"> nor </w:t>
      </w:r>
      <w:r>
        <w:rPr>
          <w:rFonts w:ascii="Times New Roman" w:hAnsi="Times New Roman"/>
          <w:i/>
          <w:szCs w:val="24"/>
          <w:shd w:val="clear" w:color="auto" w:fill="FFFFFF"/>
        </w:rPr>
        <w:t>stx</w:t>
      </w:r>
      <w:r>
        <w:rPr>
          <w:rFonts w:ascii="Times New Roman" w:hAnsi="Times New Roman"/>
          <w:i/>
          <w:szCs w:val="24"/>
          <w:shd w:val="clear" w:color="auto" w:fill="FFFFFF"/>
          <w:vertAlign w:val="subscript"/>
        </w:rPr>
        <w:t>2e</w:t>
      </w:r>
      <w:r>
        <w:rPr>
          <w:rFonts w:ascii="Times New Roman" w:eastAsia="標楷體" w:hAnsi="Times New Roman"/>
          <w:kern w:val="0"/>
          <w:szCs w:val="24"/>
        </w:rPr>
        <w:t>.</w:t>
      </w:r>
    </w:p>
    <w:sectPr w:rsidR="001248F7" w:rsidSect="00F1615B">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48F7"/>
    <w:rsid w:val="001248F7"/>
    <w:rsid w:val="009F4967"/>
    <w:rsid w:val="00BD7888"/>
    <w:rsid w:val="00F1615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8F7"/>
    <w:pPr>
      <w:widowControl w:val="0"/>
    </w:pPr>
    <w:rPr>
      <w:kern w:val="2"/>
      <w:sz w:val="24"/>
      <w:szCs w:val="22"/>
    </w:rPr>
  </w:style>
  <w:style w:type="paragraph" w:styleId="1">
    <w:name w:val="heading 1"/>
    <w:basedOn w:val="a"/>
    <w:link w:val="10"/>
    <w:uiPriority w:val="9"/>
    <w:qFormat/>
    <w:rsid w:val="009F4967"/>
    <w:pPr>
      <w:widowControl/>
      <w:spacing w:before="100" w:beforeAutospacing="1" w:after="100" w:afterAutospacing="1"/>
      <w:outlineLvl w:val="0"/>
    </w:pPr>
    <w:rPr>
      <w:rFonts w:ascii="新細明體" w:hAnsi="新細明體" w:cs="新細明體"/>
      <w:b/>
      <w:bCs/>
      <w:kern w:val="36"/>
      <w:sz w:val="48"/>
      <w:szCs w:val="48"/>
    </w:rPr>
  </w:style>
  <w:style w:type="paragraph" w:styleId="3">
    <w:name w:val="heading 3"/>
    <w:basedOn w:val="a"/>
    <w:next w:val="a"/>
    <w:link w:val="30"/>
    <w:uiPriority w:val="9"/>
    <w:semiHidden/>
    <w:unhideWhenUsed/>
    <w:qFormat/>
    <w:rsid w:val="009F4967"/>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9F4967"/>
    <w:rPr>
      <w:rFonts w:ascii="新細明體" w:hAnsi="新細明體" w:cs="新細明體"/>
      <w:b/>
      <w:bCs/>
      <w:kern w:val="36"/>
      <w:sz w:val="48"/>
      <w:szCs w:val="48"/>
    </w:rPr>
  </w:style>
  <w:style w:type="character" w:customStyle="1" w:styleId="30">
    <w:name w:val="標題 3 字元"/>
    <w:link w:val="3"/>
    <w:uiPriority w:val="9"/>
    <w:semiHidden/>
    <w:rsid w:val="009F4967"/>
    <w:rPr>
      <w:rFonts w:ascii="Cambria" w:eastAsia="新細明體" w:hAnsi="Cambria" w:cs="Times New Roman"/>
      <w:b/>
      <w:bCs/>
      <w:kern w:val="2"/>
      <w:sz w:val="36"/>
      <w:szCs w:val="36"/>
    </w:rPr>
  </w:style>
  <w:style w:type="character" w:styleId="a3">
    <w:name w:val="Strong"/>
    <w:uiPriority w:val="22"/>
    <w:qFormat/>
    <w:rsid w:val="009F4967"/>
    <w:rPr>
      <w:b/>
      <w:bCs/>
    </w:rPr>
  </w:style>
  <w:style w:type="character" w:styleId="a4">
    <w:name w:val="Emphasis"/>
    <w:uiPriority w:val="20"/>
    <w:qFormat/>
    <w:rsid w:val="009F4967"/>
    <w:rPr>
      <w:i/>
      <w:iCs/>
    </w:rPr>
  </w:style>
  <w:style w:type="paragraph" w:styleId="a5">
    <w:name w:val="List Paragraph"/>
    <w:basedOn w:val="a"/>
    <w:uiPriority w:val="34"/>
    <w:qFormat/>
    <w:rsid w:val="009F4967"/>
    <w:pPr>
      <w:ind w:leftChars="200" w:left="480"/>
    </w:pPr>
  </w:style>
  <w:style w:type="character" w:styleId="a6">
    <w:name w:val="Hyperlink"/>
    <w:uiPriority w:val="99"/>
    <w:semiHidden/>
    <w:unhideWhenUsed/>
    <w:rsid w:val="001248F7"/>
    <w:rPr>
      <w:color w:val="0000FF"/>
      <w:u w:val="single"/>
    </w:rPr>
  </w:style>
</w:styles>
</file>

<file path=word/webSettings.xml><?xml version="1.0" encoding="utf-8"?>
<w:webSettings xmlns:r="http://schemas.openxmlformats.org/officeDocument/2006/relationships" xmlns:w="http://schemas.openxmlformats.org/wordprocessingml/2006/main">
  <w:divs>
    <w:div w:id="1377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2017-06-29T15:58:00Z</dcterms:created>
  <dcterms:modified xsi:type="dcterms:W3CDTF">2017-06-29T16:04:00Z</dcterms:modified>
</cp:coreProperties>
</file>