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BD4" w:rsidRDefault="00111BD4" w:rsidP="000634E6">
      <w:pPr>
        <w:spacing w:after="0" w:line="240" w:lineRule="auto"/>
        <w:jc w:val="both"/>
        <w:rPr>
          <w:rFonts w:ascii="Times New Roman" w:hAnsi="Times New Roman" w:cs="B Zar"/>
          <w:sz w:val="28"/>
          <w:szCs w:val="28"/>
          <w:rtl/>
        </w:rPr>
      </w:pPr>
    </w:p>
    <w:p w:rsidR="00DA4B0D" w:rsidRPr="00A25BD4" w:rsidRDefault="00DA4B0D" w:rsidP="00A25BD4">
      <w:pPr>
        <w:bidi w:val="0"/>
        <w:spacing w:after="0" w:line="360" w:lineRule="auto"/>
        <w:jc w:val="center"/>
        <w:rPr>
          <w:rFonts w:ascii="Times New Roman" w:hAnsi="Times New Roman" w:cs="B Lotus"/>
          <w:b/>
          <w:bCs/>
          <w:sz w:val="20"/>
          <w:szCs w:val="20"/>
        </w:rPr>
      </w:pPr>
      <w:r w:rsidRPr="00A25BD4">
        <w:rPr>
          <w:rFonts w:ascii="Times New Roman" w:hAnsi="Times New Roman" w:cs="B Lotus"/>
          <w:b/>
          <w:bCs/>
          <w:sz w:val="20"/>
          <w:szCs w:val="20"/>
        </w:rPr>
        <w:t xml:space="preserve">Genomic pattern </w:t>
      </w:r>
      <w:bookmarkStart w:id="0" w:name="_GoBack"/>
      <w:bookmarkEnd w:id="0"/>
      <w:r w:rsidRPr="00A25BD4">
        <w:rPr>
          <w:rFonts w:ascii="Times New Roman" w:hAnsi="Times New Roman" w:cs="B Lotus"/>
          <w:b/>
          <w:bCs/>
          <w:sz w:val="20"/>
          <w:szCs w:val="20"/>
        </w:rPr>
        <w:t xml:space="preserve">of </w:t>
      </w:r>
      <w:r w:rsidRPr="00A25BD4">
        <w:rPr>
          <w:rFonts w:ascii="Times New Roman" w:hAnsi="Times New Roman" w:cs="B Lotus"/>
          <w:b/>
          <w:bCs/>
          <w:i/>
          <w:iCs/>
          <w:sz w:val="20"/>
          <w:szCs w:val="20"/>
        </w:rPr>
        <w:t>Burkholderia mallei</w:t>
      </w:r>
      <w:r w:rsidR="00E9301A">
        <w:rPr>
          <w:rFonts w:ascii="Times New Roman" w:hAnsi="Times New Roman" w:cs="B Lotus"/>
          <w:b/>
          <w:bCs/>
          <w:i/>
          <w:iCs/>
          <w:sz w:val="20"/>
          <w:szCs w:val="20"/>
        </w:rPr>
        <w:t>,</w:t>
      </w:r>
      <w:r w:rsidR="00A25BD4" w:rsidRPr="00A25BD4">
        <w:rPr>
          <w:rFonts w:ascii="Times New Roman" w:hAnsi="Times New Roman" w:cs="B Lotus"/>
          <w:b/>
          <w:bCs/>
          <w:i/>
          <w:iCs/>
          <w:sz w:val="20"/>
          <w:szCs w:val="20"/>
        </w:rPr>
        <w:t xml:space="preserve"> </w:t>
      </w:r>
      <w:r w:rsidR="00A25BD4" w:rsidRPr="00A25BD4">
        <w:rPr>
          <w:rFonts w:ascii="Times New Roman" w:hAnsi="Times New Roman" w:cs="B Lotus"/>
          <w:b/>
          <w:bCs/>
          <w:sz w:val="20"/>
          <w:szCs w:val="20"/>
        </w:rPr>
        <w:t xml:space="preserve">isolated from Iranian </w:t>
      </w:r>
    </w:p>
    <w:p w:rsidR="00DA4B0D" w:rsidRDefault="00DA4B0D" w:rsidP="00DA4B0D">
      <w:pPr>
        <w:bidi w:val="0"/>
        <w:spacing w:after="0" w:line="360" w:lineRule="auto"/>
        <w:jc w:val="center"/>
        <w:rPr>
          <w:rFonts w:ascii="Times New Roman" w:hAnsi="Times New Roman" w:cs="B Lotus"/>
          <w:i/>
          <w:iCs/>
          <w:sz w:val="20"/>
          <w:szCs w:val="20"/>
        </w:rPr>
      </w:pPr>
    </w:p>
    <w:p w:rsidR="00DA4B0D" w:rsidRDefault="00DA4B0D" w:rsidP="00DA4B0D">
      <w:pPr>
        <w:bidi w:val="0"/>
        <w:spacing w:after="0" w:line="360" w:lineRule="auto"/>
        <w:jc w:val="center"/>
        <w:rPr>
          <w:rFonts w:ascii="Times New Roman" w:hAnsi="Times New Roman" w:cs="B Lotus"/>
          <w:sz w:val="20"/>
          <w:szCs w:val="20"/>
        </w:rPr>
      </w:pPr>
      <w:r>
        <w:rPr>
          <w:rFonts w:ascii="Times New Roman" w:hAnsi="Times New Roman" w:cs="B Lotus"/>
          <w:sz w:val="20"/>
          <w:szCs w:val="20"/>
        </w:rPr>
        <w:t>Shojaat Dashti Pour, Nader Mosavari*, Keyvan Tadayon</w:t>
      </w:r>
    </w:p>
    <w:p w:rsidR="001D234A" w:rsidRPr="00DA4B0D" w:rsidRDefault="001D234A" w:rsidP="001D234A">
      <w:pPr>
        <w:bidi w:val="0"/>
        <w:spacing w:after="0" w:line="360" w:lineRule="auto"/>
        <w:jc w:val="center"/>
        <w:rPr>
          <w:rFonts w:ascii="Times New Roman" w:hAnsi="Times New Roman" w:cs="B Lotus"/>
          <w:b/>
          <w:bCs/>
          <w:sz w:val="20"/>
          <w:szCs w:val="20"/>
        </w:rPr>
      </w:pPr>
    </w:p>
    <w:p w:rsidR="00111BD4" w:rsidRDefault="00111BD4" w:rsidP="00DA4B0D">
      <w:pPr>
        <w:bidi w:val="0"/>
        <w:spacing w:after="0" w:line="360" w:lineRule="auto"/>
        <w:jc w:val="both"/>
        <w:rPr>
          <w:rFonts w:ascii="Times New Roman" w:hAnsi="Times New Roman" w:cs="B Lotus"/>
          <w:b/>
          <w:bCs/>
          <w:sz w:val="20"/>
          <w:szCs w:val="20"/>
        </w:rPr>
      </w:pPr>
      <w:r w:rsidRPr="00900C50">
        <w:rPr>
          <w:rFonts w:ascii="Times New Roman" w:hAnsi="Times New Roman" w:cs="B Lotus"/>
          <w:b/>
          <w:bCs/>
          <w:sz w:val="20"/>
          <w:szCs w:val="20"/>
        </w:rPr>
        <w:t>Abstract</w:t>
      </w:r>
    </w:p>
    <w:p w:rsidR="00D22D8D" w:rsidRPr="001A1079" w:rsidRDefault="00D22D8D" w:rsidP="001A1079">
      <w:pPr>
        <w:bidi w:val="0"/>
        <w:spacing w:after="0" w:line="360" w:lineRule="auto"/>
        <w:jc w:val="both"/>
        <w:rPr>
          <w:rFonts w:asciiTheme="majorBidi" w:hAnsiTheme="majorBidi" w:cstheme="majorBidi"/>
          <w:b/>
          <w:bCs/>
          <w:sz w:val="20"/>
          <w:szCs w:val="20"/>
        </w:rPr>
      </w:pPr>
      <w:r w:rsidRPr="001A1079">
        <w:rPr>
          <w:rFonts w:asciiTheme="majorBidi" w:hAnsiTheme="majorBidi" w:cstheme="majorBidi"/>
          <w:color w:val="000000"/>
          <w:sz w:val="20"/>
          <w:szCs w:val="20"/>
          <w:shd w:val="clear" w:color="auto" w:fill="FFFFFF"/>
        </w:rPr>
        <w:t>Glanders is a contagious and fatal zoonotic disease seen more often in equines.</w:t>
      </w:r>
      <w:r w:rsidR="001A1079" w:rsidRPr="001A1079">
        <w:rPr>
          <w:rFonts w:asciiTheme="majorBidi" w:hAnsiTheme="majorBidi" w:cstheme="majorBidi"/>
          <w:color w:val="212121"/>
          <w:sz w:val="20"/>
          <w:szCs w:val="20"/>
          <w:shd w:val="clear" w:color="auto" w:fill="FFFFFF"/>
        </w:rPr>
        <w:t xml:space="preserve"> C</w:t>
      </w:r>
      <w:r w:rsidR="001A1079" w:rsidRPr="001A1079">
        <w:rPr>
          <w:rFonts w:asciiTheme="majorBidi" w:hAnsiTheme="majorBidi" w:cstheme="majorBidi"/>
          <w:color w:val="212121"/>
          <w:sz w:val="20"/>
          <w:szCs w:val="20"/>
          <w:shd w:val="clear" w:color="auto" w:fill="FFFFFF"/>
        </w:rPr>
        <w:t>aus</w:t>
      </w:r>
      <w:r w:rsidR="001A1079" w:rsidRPr="001A1079">
        <w:rPr>
          <w:rFonts w:asciiTheme="majorBidi" w:hAnsiTheme="majorBidi" w:cstheme="majorBidi"/>
          <w:color w:val="212121"/>
          <w:sz w:val="20"/>
          <w:szCs w:val="20"/>
          <w:shd w:val="clear" w:color="auto" w:fill="FFFFFF"/>
        </w:rPr>
        <w:t>ative agent of th</w:t>
      </w:r>
      <w:r w:rsidR="001A1079" w:rsidRPr="001A1079">
        <w:rPr>
          <w:rFonts w:asciiTheme="majorBidi" w:hAnsiTheme="majorBidi" w:cstheme="majorBidi"/>
          <w:color w:val="212121"/>
          <w:sz w:val="20"/>
          <w:szCs w:val="20"/>
          <w:shd w:val="clear" w:color="auto" w:fill="FFFFFF"/>
        </w:rPr>
        <w:t>e</w:t>
      </w:r>
      <w:r w:rsidR="001A1079" w:rsidRPr="001A1079">
        <w:rPr>
          <w:rFonts w:asciiTheme="majorBidi" w:hAnsiTheme="majorBidi" w:cstheme="majorBidi"/>
          <w:color w:val="212121"/>
          <w:sz w:val="20"/>
          <w:szCs w:val="20"/>
          <w:shd w:val="clear" w:color="auto" w:fill="FFFFFF"/>
        </w:rPr>
        <w:t xml:space="preserve"> </w:t>
      </w:r>
      <w:r w:rsidR="001A1079" w:rsidRPr="001A1079">
        <w:rPr>
          <w:rFonts w:asciiTheme="majorBidi" w:hAnsiTheme="majorBidi" w:cstheme="majorBidi"/>
          <w:color w:val="212121"/>
          <w:sz w:val="20"/>
          <w:szCs w:val="20"/>
          <w:shd w:val="clear" w:color="auto" w:fill="FFFFFF"/>
        </w:rPr>
        <w:t>dis</w:t>
      </w:r>
      <w:r w:rsidR="001A1079" w:rsidRPr="001A1079">
        <w:rPr>
          <w:rFonts w:asciiTheme="majorBidi" w:hAnsiTheme="majorBidi" w:cstheme="majorBidi"/>
          <w:color w:val="212121"/>
          <w:sz w:val="20"/>
          <w:szCs w:val="20"/>
          <w:shd w:val="clear" w:color="auto" w:fill="FFFFFF"/>
        </w:rPr>
        <w:t xml:space="preserve">ease is </w:t>
      </w:r>
      <w:r w:rsidR="001A1079" w:rsidRPr="001A1079">
        <w:rPr>
          <w:rFonts w:asciiTheme="majorBidi" w:hAnsiTheme="majorBidi" w:cstheme="majorBidi"/>
          <w:i/>
          <w:iCs/>
          <w:color w:val="000000" w:themeColor="text1"/>
          <w:sz w:val="20"/>
          <w:szCs w:val="20"/>
          <w:shd w:val="clear" w:color="auto" w:fill="FFFFFF"/>
        </w:rPr>
        <w:t>Burkholderia mallei</w:t>
      </w:r>
      <w:r w:rsidR="001A1079" w:rsidRPr="001A1079">
        <w:rPr>
          <w:rFonts w:asciiTheme="majorBidi" w:hAnsiTheme="majorBidi" w:cstheme="majorBidi"/>
          <w:sz w:val="20"/>
          <w:szCs w:val="20"/>
        </w:rPr>
        <w:t>.</w:t>
      </w:r>
      <w:r w:rsidR="001A1079" w:rsidRPr="001A1079">
        <w:rPr>
          <w:rFonts w:asciiTheme="majorBidi" w:hAnsiTheme="majorBidi" w:cstheme="majorBidi"/>
          <w:sz w:val="20"/>
          <w:szCs w:val="20"/>
        </w:rPr>
        <w:t xml:space="preserve"> </w:t>
      </w:r>
      <w:r w:rsidR="001A1079" w:rsidRPr="001A1079">
        <w:rPr>
          <w:rFonts w:asciiTheme="majorBidi" w:hAnsiTheme="majorBidi" w:cstheme="majorBidi"/>
          <w:sz w:val="20"/>
          <w:szCs w:val="20"/>
        </w:rPr>
        <w:t>In last couple of years, researchers have been looking for raising awareness of the epidemiology of the disease by using modern and sophisticated molecular biology techniques for identification of this bacteria in different places.</w:t>
      </w:r>
    </w:p>
    <w:p w:rsidR="00111BD4" w:rsidRPr="00900C50" w:rsidRDefault="002F0F0B" w:rsidP="00C54DFF">
      <w:pPr>
        <w:autoSpaceDE w:val="0"/>
        <w:autoSpaceDN w:val="0"/>
        <w:bidi w:val="0"/>
        <w:adjustRightInd w:val="0"/>
        <w:spacing w:after="0" w:line="360" w:lineRule="auto"/>
        <w:jc w:val="both"/>
        <w:rPr>
          <w:rFonts w:ascii="Times New Roman" w:hAnsi="Times New Roman" w:cs="B Lotus"/>
          <w:color w:val="231F20"/>
          <w:sz w:val="20"/>
          <w:szCs w:val="20"/>
        </w:rPr>
      </w:pPr>
      <w:r>
        <w:rPr>
          <w:rFonts w:ascii="Times New Roman" w:hAnsi="Times New Roman" w:cs="B Lotus"/>
          <w:color w:val="231F20"/>
          <w:sz w:val="20"/>
          <w:szCs w:val="20"/>
        </w:rPr>
        <w:t>Pulsed Field Gel Electrophoresis (PFGE) and more recently M</w:t>
      </w:r>
      <w:r w:rsidR="00111BD4" w:rsidRPr="00900C50">
        <w:rPr>
          <w:rFonts w:ascii="Times New Roman" w:hAnsi="Times New Roman" w:cs="B Lotus"/>
          <w:color w:val="231F20"/>
          <w:sz w:val="20"/>
          <w:szCs w:val="20"/>
        </w:rPr>
        <w:t xml:space="preserve">ultiple </w:t>
      </w:r>
      <w:r>
        <w:rPr>
          <w:rFonts w:ascii="Times New Roman" w:hAnsi="Times New Roman" w:cs="B Lotus"/>
          <w:color w:val="231F20"/>
          <w:sz w:val="20"/>
          <w:szCs w:val="20"/>
        </w:rPr>
        <w:t>L</w:t>
      </w:r>
      <w:r w:rsidR="00111BD4" w:rsidRPr="00900C50">
        <w:rPr>
          <w:rFonts w:ascii="Times New Roman" w:hAnsi="Times New Roman" w:cs="B Lotus"/>
          <w:color w:val="231F20"/>
          <w:sz w:val="20"/>
          <w:szCs w:val="20"/>
        </w:rPr>
        <w:t xml:space="preserve">ocus </w:t>
      </w:r>
      <w:r>
        <w:rPr>
          <w:rFonts w:ascii="Times New Roman" w:hAnsi="Times New Roman" w:cs="B Lotus"/>
          <w:color w:val="231F20"/>
          <w:sz w:val="20"/>
          <w:szCs w:val="20"/>
        </w:rPr>
        <w:t>V</w:t>
      </w:r>
      <w:r w:rsidR="00111BD4" w:rsidRPr="00900C50">
        <w:rPr>
          <w:rFonts w:ascii="Times New Roman" w:hAnsi="Times New Roman" w:cs="B Lotus"/>
          <w:color w:val="231F20"/>
          <w:sz w:val="20"/>
          <w:szCs w:val="20"/>
        </w:rPr>
        <w:t xml:space="preserve">ariable number of tandem repeat </w:t>
      </w:r>
      <w:r>
        <w:rPr>
          <w:rFonts w:ascii="Times New Roman" w:hAnsi="Times New Roman" w:cs="B Lotus"/>
          <w:color w:val="231F20"/>
          <w:sz w:val="20"/>
          <w:szCs w:val="20"/>
        </w:rPr>
        <w:t>A</w:t>
      </w:r>
      <w:r w:rsidR="00111BD4" w:rsidRPr="00900C50">
        <w:rPr>
          <w:rFonts w:ascii="Times New Roman" w:hAnsi="Times New Roman" w:cs="B Lotus"/>
          <w:color w:val="231F20"/>
          <w:sz w:val="20"/>
          <w:szCs w:val="20"/>
        </w:rPr>
        <w:t xml:space="preserve">nalysis (MLVA) </w:t>
      </w:r>
      <w:r w:rsidR="00C54DFF">
        <w:rPr>
          <w:rFonts w:ascii="Times New Roman" w:hAnsi="Times New Roman" w:cs="B Lotus"/>
          <w:color w:val="231F20"/>
          <w:sz w:val="20"/>
          <w:szCs w:val="20"/>
        </w:rPr>
        <w:t xml:space="preserve">have been </w:t>
      </w:r>
      <w:r w:rsidR="00111BD4" w:rsidRPr="00900C50">
        <w:rPr>
          <w:rFonts w:ascii="Times New Roman" w:hAnsi="Times New Roman" w:cs="B Lotus"/>
          <w:color w:val="231F20"/>
          <w:sz w:val="20"/>
          <w:szCs w:val="20"/>
        </w:rPr>
        <w:t>broad</w:t>
      </w:r>
      <w:r>
        <w:rPr>
          <w:rFonts w:ascii="Times New Roman" w:hAnsi="Times New Roman" w:cs="B Lotus"/>
          <w:color w:val="231F20"/>
          <w:sz w:val="20"/>
          <w:szCs w:val="20"/>
        </w:rPr>
        <w:t xml:space="preserve">ly used </w:t>
      </w:r>
      <w:r w:rsidR="00111BD4" w:rsidRPr="00900C50">
        <w:rPr>
          <w:rFonts w:ascii="Times New Roman" w:hAnsi="Times New Roman" w:cs="B Lotus"/>
          <w:color w:val="231F20"/>
          <w:sz w:val="20"/>
          <w:szCs w:val="20"/>
        </w:rPr>
        <w:t>as method</w:t>
      </w:r>
      <w:r>
        <w:rPr>
          <w:rFonts w:ascii="Times New Roman" w:hAnsi="Times New Roman" w:cs="B Lotus"/>
          <w:color w:val="231F20"/>
          <w:sz w:val="20"/>
          <w:szCs w:val="20"/>
        </w:rPr>
        <w:t>s</w:t>
      </w:r>
      <w:r w:rsidR="00111BD4" w:rsidRPr="00900C50">
        <w:rPr>
          <w:rFonts w:ascii="Times New Roman" w:hAnsi="Times New Roman" w:cs="B Lotus"/>
          <w:color w:val="231F20"/>
          <w:sz w:val="20"/>
          <w:szCs w:val="20"/>
        </w:rPr>
        <w:t xml:space="preserve"> of choice in genotyping of </w:t>
      </w:r>
      <w:r w:rsidR="00111BD4" w:rsidRPr="00900C50">
        <w:rPr>
          <w:rFonts w:ascii="Times New Roman" w:hAnsi="Times New Roman" w:cs="B Lotus"/>
          <w:i/>
          <w:iCs/>
          <w:color w:val="231F20"/>
          <w:sz w:val="20"/>
          <w:szCs w:val="20"/>
        </w:rPr>
        <w:t>B. mallei</w:t>
      </w:r>
      <w:r w:rsidR="00111BD4" w:rsidRPr="00900C50">
        <w:rPr>
          <w:rFonts w:ascii="Times New Roman" w:hAnsi="Times New Roman" w:cs="B Lotus"/>
          <w:color w:val="231F20"/>
          <w:sz w:val="20"/>
          <w:szCs w:val="20"/>
        </w:rPr>
        <w:t>.</w:t>
      </w:r>
    </w:p>
    <w:p w:rsidR="002F0F0B" w:rsidRDefault="00111BD4" w:rsidP="00C7080A">
      <w:pPr>
        <w:autoSpaceDE w:val="0"/>
        <w:autoSpaceDN w:val="0"/>
        <w:bidi w:val="0"/>
        <w:adjustRightInd w:val="0"/>
        <w:spacing w:after="0" w:line="360" w:lineRule="auto"/>
        <w:jc w:val="both"/>
        <w:rPr>
          <w:rFonts w:ascii="Times New Roman" w:hAnsi="Times New Roman" w:cs="B Lotus"/>
          <w:color w:val="231F20"/>
          <w:sz w:val="20"/>
          <w:szCs w:val="20"/>
        </w:rPr>
      </w:pPr>
      <w:r w:rsidRPr="00900C50">
        <w:rPr>
          <w:rFonts w:ascii="Times New Roman" w:hAnsi="Times New Roman" w:cs="B Lotus"/>
          <w:color w:val="231F20"/>
          <w:sz w:val="20"/>
          <w:szCs w:val="20"/>
        </w:rPr>
        <w:t xml:space="preserve">In order to </w:t>
      </w:r>
      <w:r w:rsidR="002F0F0B">
        <w:rPr>
          <w:rFonts w:ascii="Times New Roman" w:hAnsi="Times New Roman" w:cs="B Lotus"/>
          <w:color w:val="231F20"/>
          <w:sz w:val="20"/>
          <w:szCs w:val="20"/>
        </w:rPr>
        <w:t xml:space="preserve">analysis genetic diversity in </w:t>
      </w:r>
      <w:r w:rsidR="00C63A8A">
        <w:rPr>
          <w:rFonts w:ascii="Times New Roman" w:hAnsi="Times New Roman" w:cs="B Lotus"/>
          <w:color w:val="231F20"/>
          <w:sz w:val="20"/>
          <w:szCs w:val="20"/>
        </w:rPr>
        <w:t>a</w:t>
      </w:r>
      <w:r w:rsidR="002F0F0B">
        <w:rPr>
          <w:rFonts w:ascii="Times New Roman" w:hAnsi="Times New Roman" w:cs="B Lotus"/>
          <w:color w:val="231F20"/>
          <w:sz w:val="20"/>
          <w:szCs w:val="20"/>
        </w:rPr>
        <w:t xml:space="preserve"> local </w:t>
      </w:r>
      <w:r w:rsidR="00C54DFF">
        <w:rPr>
          <w:rFonts w:ascii="Times New Roman" w:hAnsi="Times New Roman" w:cs="B Lotus"/>
          <w:color w:val="231F20"/>
          <w:sz w:val="20"/>
          <w:szCs w:val="20"/>
        </w:rPr>
        <w:t xml:space="preserve">Iranian </w:t>
      </w:r>
      <w:r w:rsidR="002F0F0B">
        <w:rPr>
          <w:rFonts w:ascii="Times New Roman" w:hAnsi="Times New Roman" w:cs="B Lotus"/>
          <w:color w:val="231F20"/>
          <w:sz w:val="20"/>
          <w:szCs w:val="20"/>
        </w:rPr>
        <w:t xml:space="preserve">population of </w:t>
      </w:r>
      <w:r w:rsidR="00C54DFF">
        <w:rPr>
          <w:rFonts w:ascii="Times New Roman" w:hAnsi="Times New Roman" w:cs="B Lotus"/>
          <w:color w:val="231F20"/>
          <w:sz w:val="20"/>
          <w:szCs w:val="20"/>
        </w:rPr>
        <w:t>B. mallei</w:t>
      </w:r>
      <w:r w:rsidR="002F0F0B" w:rsidRPr="00900C50">
        <w:rPr>
          <w:rFonts w:ascii="Times New Roman" w:hAnsi="Times New Roman" w:cs="B Lotus"/>
          <w:color w:val="231F20"/>
          <w:sz w:val="20"/>
          <w:szCs w:val="20"/>
        </w:rPr>
        <w:t xml:space="preserve">, five strains were </w:t>
      </w:r>
      <w:r w:rsidR="00C63A8A">
        <w:rPr>
          <w:rFonts w:ascii="Times New Roman" w:hAnsi="Times New Roman" w:cs="B Lotus"/>
          <w:color w:val="231F20"/>
          <w:sz w:val="20"/>
          <w:szCs w:val="20"/>
        </w:rPr>
        <w:t xml:space="preserve">comparatively </w:t>
      </w:r>
      <w:r w:rsidR="002F0F0B" w:rsidRPr="00900C50">
        <w:rPr>
          <w:rFonts w:ascii="Times New Roman" w:hAnsi="Times New Roman" w:cs="B Lotus"/>
          <w:color w:val="231F20"/>
          <w:sz w:val="20"/>
          <w:szCs w:val="20"/>
        </w:rPr>
        <w:t xml:space="preserve">examined by </w:t>
      </w:r>
      <w:r w:rsidR="002F0F0B">
        <w:rPr>
          <w:rFonts w:ascii="Times New Roman" w:hAnsi="Times New Roman" w:cs="B Lotus"/>
          <w:color w:val="231F20"/>
          <w:sz w:val="20"/>
          <w:szCs w:val="20"/>
        </w:rPr>
        <w:t xml:space="preserve">PFGE and </w:t>
      </w:r>
      <w:r w:rsidR="002F0F0B" w:rsidRPr="00900C50">
        <w:rPr>
          <w:rFonts w:ascii="Times New Roman" w:hAnsi="Times New Roman" w:cs="B Lotus"/>
          <w:color w:val="231F20"/>
          <w:sz w:val="20"/>
          <w:szCs w:val="20"/>
        </w:rPr>
        <w:t>PCR-MLVA</w:t>
      </w:r>
      <w:r w:rsidR="00C54DFF">
        <w:rPr>
          <w:rFonts w:ascii="Times New Roman" w:hAnsi="Times New Roman" w:cs="B Lotus"/>
          <w:color w:val="231F20"/>
          <w:sz w:val="20"/>
          <w:szCs w:val="20"/>
        </w:rPr>
        <w:t xml:space="preserve">. This included B. mallei 325 an imported laboratory strain that is used for mallein production in Iran plus Semirum, Kordan, Oshnavieh and Tehran indegenous strains. </w:t>
      </w:r>
      <w:r w:rsidR="00C7080A">
        <w:rPr>
          <w:rFonts w:ascii="Times New Roman" w:hAnsi="Times New Roman" w:cs="B Lotus"/>
          <w:color w:val="231F20"/>
          <w:sz w:val="20"/>
          <w:szCs w:val="20"/>
        </w:rPr>
        <w:t>For MLVA</w:t>
      </w:r>
      <w:r w:rsidR="0069556B">
        <w:rPr>
          <w:rFonts w:ascii="Times New Roman" w:hAnsi="Times New Roman" w:cs="B Lotus"/>
          <w:color w:val="231F20"/>
          <w:sz w:val="20"/>
          <w:szCs w:val="20"/>
        </w:rPr>
        <w:t xml:space="preserve"> two Variable Number of Tandem Repeats (VNTR) loci </w:t>
      </w:r>
      <w:r w:rsidR="00C7080A">
        <w:rPr>
          <w:rFonts w:ascii="Times New Roman" w:hAnsi="Times New Roman" w:cs="B Lotus"/>
          <w:color w:val="231F20"/>
          <w:sz w:val="20"/>
          <w:szCs w:val="20"/>
        </w:rPr>
        <w:t xml:space="preserve">of </w:t>
      </w:r>
      <w:r w:rsidR="0069556B" w:rsidRPr="00900C50">
        <w:rPr>
          <w:rFonts w:ascii="Times New Roman" w:hAnsi="Times New Roman" w:cs="B Lotus"/>
          <w:color w:val="231F20"/>
          <w:sz w:val="20"/>
          <w:szCs w:val="20"/>
        </w:rPr>
        <w:t>VNTR1217</w:t>
      </w:r>
      <w:r w:rsidR="0069556B">
        <w:rPr>
          <w:rFonts w:ascii="Times New Roman" w:hAnsi="Times New Roman" w:cs="B Lotus"/>
          <w:color w:val="231F20"/>
          <w:sz w:val="20"/>
          <w:szCs w:val="20"/>
        </w:rPr>
        <w:t xml:space="preserve"> and </w:t>
      </w:r>
      <w:r w:rsidR="0069556B" w:rsidRPr="00900C50">
        <w:rPr>
          <w:rFonts w:ascii="Times New Roman" w:hAnsi="Times New Roman" w:cs="B Lotus"/>
          <w:color w:val="231F20"/>
          <w:sz w:val="20"/>
          <w:szCs w:val="20"/>
        </w:rPr>
        <w:t>VNTR13</w:t>
      </w:r>
      <w:r w:rsidR="00C7080A">
        <w:rPr>
          <w:rFonts w:ascii="Times New Roman" w:hAnsi="Times New Roman" w:cs="B Lotus"/>
          <w:color w:val="231F20"/>
          <w:sz w:val="20"/>
          <w:szCs w:val="20"/>
        </w:rPr>
        <w:t xml:space="preserve"> were employed</w:t>
      </w:r>
      <w:r w:rsidR="002F0F0B" w:rsidRPr="00900C50">
        <w:rPr>
          <w:rFonts w:ascii="Times New Roman" w:hAnsi="Times New Roman" w:cs="B Lotus"/>
          <w:color w:val="231F20"/>
          <w:sz w:val="20"/>
          <w:szCs w:val="20"/>
        </w:rPr>
        <w:t xml:space="preserve">. The amplification products </w:t>
      </w:r>
      <w:r w:rsidR="00C63A8A">
        <w:rPr>
          <w:rFonts w:ascii="Times New Roman" w:hAnsi="Times New Roman" w:cs="B Lotus"/>
          <w:color w:val="231F20"/>
          <w:sz w:val="20"/>
          <w:szCs w:val="20"/>
        </w:rPr>
        <w:t xml:space="preserve">of </w:t>
      </w:r>
      <w:r w:rsidR="0069556B">
        <w:rPr>
          <w:rFonts w:ascii="Times New Roman" w:hAnsi="Times New Roman" w:cs="B Lotus"/>
          <w:color w:val="231F20"/>
          <w:sz w:val="20"/>
          <w:szCs w:val="20"/>
        </w:rPr>
        <w:t xml:space="preserve">MLVA </w:t>
      </w:r>
      <w:r w:rsidR="00C54DFF">
        <w:rPr>
          <w:rFonts w:ascii="Times New Roman" w:hAnsi="Times New Roman" w:cs="B Lotus"/>
          <w:color w:val="231F20"/>
          <w:sz w:val="20"/>
          <w:szCs w:val="20"/>
        </w:rPr>
        <w:t xml:space="preserve"> PCRs </w:t>
      </w:r>
      <w:r w:rsidR="002F0F0B" w:rsidRPr="00900C50">
        <w:rPr>
          <w:rFonts w:ascii="Times New Roman" w:hAnsi="Times New Roman" w:cs="B Lotus"/>
          <w:color w:val="231F20"/>
          <w:sz w:val="20"/>
          <w:szCs w:val="20"/>
        </w:rPr>
        <w:t xml:space="preserve">were sequenced to guaranty accuracy of sizing and nucleotide structure of </w:t>
      </w:r>
      <w:r w:rsidR="00C54DFF">
        <w:rPr>
          <w:rFonts w:ascii="Times New Roman" w:hAnsi="Times New Roman" w:cs="B Lotus"/>
          <w:color w:val="231F20"/>
          <w:sz w:val="20"/>
          <w:szCs w:val="20"/>
        </w:rPr>
        <w:t xml:space="preserve">the </w:t>
      </w:r>
      <w:r w:rsidR="002F0F0B" w:rsidRPr="00900C50">
        <w:rPr>
          <w:rFonts w:ascii="Times New Roman" w:hAnsi="Times New Roman" w:cs="B Lotus"/>
          <w:color w:val="231F20"/>
          <w:sz w:val="20"/>
          <w:szCs w:val="20"/>
        </w:rPr>
        <w:t>unit repeats.</w:t>
      </w:r>
      <w:r w:rsidR="00C54DFF">
        <w:rPr>
          <w:rFonts w:ascii="Times New Roman" w:hAnsi="Times New Roman" w:cs="B Lotus"/>
          <w:color w:val="231F20"/>
          <w:sz w:val="20"/>
          <w:szCs w:val="20"/>
        </w:rPr>
        <w:t xml:space="preserve"> </w:t>
      </w:r>
    </w:p>
    <w:p w:rsidR="00C1235F" w:rsidRDefault="00C54DFF" w:rsidP="004E67B8">
      <w:pPr>
        <w:autoSpaceDE w:val="0"/>
        <w:autoSpaceDN w:val="0"/>
        <w:bidi w:val="0"/>
        <w:adjustRightInd w:val="0"/>
        <w:spacing w:after="0" w:line="360" w:lineRule="auto"/>
        <w:jc w:val="both"/>
        <w:rPr>
          <w:rFonts w:ascii="Times New Roman" w:hAnsi="Times New Roman" w:cs="B Lotus"/>
          <w:color w:val="231F20"/>
          <w:sz w:val="20"/>
          <w:szCs w:val="20"/>
        </w:rPr>
      </w:pPr>
      <w:r>
        <w:rPr>
          <w:rFonts w:ascii="Times New Roman" w:hAnsi="Times New Roman" w:cs="B Lotus"/>
          <w:color w:val="231F20"/>
          <w:sz w:val="20"/>
          <w:szCs w:val="20"/>
        </w:rPr>
        <w:t>Consequen</w:t>
      </w:r>
      <w:r w:rsidR="004E67B8">
        <w:rPr>
          <w:rFonts w:ascii="Times New Roman" w:hAnsi="Times New Roman" w:cs="B Lotus"/>
          <w:color w:val="231F20"/>
          <w:sz w:val="20"/>
          <w:szCs w:val="20"/>
        </w:rPr>
        <w:t>tly</w:t>
      </w:r>
      <w:r>
        <w:rPr>
          <w:rFonts w:ascii="Times New Roman" w:hAnsi="Times New Roman" w:cs="B Lotus"/>
          <w:color w:val="231F20"/>
          <w:sz w:val="20"/>
          <w:szCs w:val="20"/>
        </w:rPr>
        <w:t xml:space="preserve">, in PFGE three profiles were detected </w:t>
      </w:r>
      <w:r w:rsidR="00C7080A">
        <w:rPr>
          <w:rFonts w:ascii="Times New Roman" w:hAnsi="Times New Roman" w:cs="B Lotus"/>
          <w:color w:val="231F20"/>
          <w:sz w:val="20"/>
          <w:szCs w:val="20"/>
        </w:rPr>
        <w:t>with the first specific to B. mallei 325 and the second represented by B. mallei Semirum. The other three strains shared the third type. The PFGE pattern of the 325 strain was characteristically different to those of the Iranian strains.</w:t>
      </w:r>
      <w:r w:rsidR="00C1235F">
        <w:rPr>
          <w:rFonts w:ascii="Times New Roman" w:hAnsi="Times New Roman" w:cs="B Lotus"/>
          <w:color w:val="231F20"/>
          <w:sz w:val="20"/>
          <w:szCs w:val="20"/>
        </w:rPr>
        <w:t xml:space="preserve"> In MLVA</w:t>
      </w:r>
      <w:r w:rsidR="004E67B8">
        <w:rPr>
          <w:rFonts w:ascii="Times New Roman" w:hAnsi="Times New Roman" w:cs="B Lotus"/>
          <w:color w:val="231F20"/>
          <w:sz w:val="20"/>
          <w:szCs w:val="20"/>
        </w:rPr>
        <w:t xml:space="preserve"> typing</w:t>
      </w:r>
      <w:r w:rsidR="00C1235F">
        <w:rPr>
          <w:rFonts w:ascii="Times New Roman" w:hAnsi="Times New Roman" w:cs="B Lotus"/>
          <w:color w:val="231F20"/>
          <w:sz w:val="20"/>
          <w:szCs w:val="20"/>
        </w:rPr>
        <w:t xml:space="preserve">, at VNTR13 three alleles were detected where B. mallei 325 appered to be clearly different to other </w:t>
      </w:r>
      <w:r w:rsidR="004E67B8">
        <w:rPr>
          <w:rFonts w:ascii="Times New Roman" w:hAnsi="Times New Roman" w:cs="B Lotus"/>
          <w:color w:val="231F20"/>
          <w:sz w:val="20"/>
          <w:szCs w:val="20"/>
        </w:rPr>
        <w:t xml:space="preserve">four </w:t>
      </w:r>
      <w:r w:rsidR="00C1235F">
        <w:rPr>
          <w:rFonts w:ascii="Times New Roman" w:hAnsi="Times New Roman" w:cs="B Lotus"/>
          <w:color w:val="231F20"/>
          <w:sz w:val="20"/>
          <w:szCs w:val="20"/>
        </w:rPr>
        <w:t>examined strains</w:t>
      </w:r>
      <w:r w:rsidR="004E67B8">
        <w:rPr>
          <w:rFonts w:ascii="Times New Roman" w:hAnsi="Times New Roman" w:cs="B Lotus"/>
          <w:color w:val="231F20"/>
          <w:sz w:val="20"/>
          <w:szCs w:val="20"/>
        </w:rPr>
        <w:t xml:space="preserve">. Furthermore, at VNTR1217 two allels were observed leading to a total of 4 combinational VNTR profiles between the five straines.  </w:t>
      </w:r>
    </w:p>
    <w:p w:rsidR="002F0F0B" w:rsidRDefault="00111BD4" w:rsidP="00D15140">
      <w:pPr>
        <w:autoSpaceDE w:val="0"/>
        <w:autoSpaceDN w:val="0"/>
        <w:bidi w:val="0"/>
        <w:adjustRightInd w:val="0"/>
        <w:spacing w:after="0" w:line="360" w:lineRule="auto"/>
        <w:jc w:val="both"/>
        <w:rPr>
          <w:rFonts w:ascii="Times New Roman" w:hAnsi="Times New Roman" w:cs="B Lotus"/>
          <w:sz w:val="24"/>
          <w:szCs w:val="24"/>
        </w:rPr>
      </w:pPr>
      <w:r w:rsidRPr="00900C50">
        <w:rPr>
          <w:rFonts w:ascii="Times New Roman" w:hAnsi="Times New Roman" w:cs="B Lotus"/>
          <w:sz w:val="20"/>
          <w:szCs w:val="20"/>
        </w:rPr>
        <w:t xml:space="preserve">Findings of this study back the assumption that </w:t>
      </w:r>
      <w:r w:rsidR="004E67B8">
        <w:rPr>
          <w:rFonts w:ascii="Times New Roman" w:hAnsi="Times New Roman" w:cs="B Lotus"/>
          <w:sz w:val="20"/>
          <w:szCs w:val="20"/>
        </w:rPr>
        <w:t>i</w:t>
      </w:r>
      <w:r w:rsidRPr="00900C50">
        <w:rPr>
          <w:rFonts w:ascii="Times New Roman" w:hAnsi="Times New Roman" w:cs="B Lotus"/>
          <w:sz w:val="20"/>
          <w:szCs w:val="20"/>
        </w:rPr>
        <w:t>f a</w:t>
      </w:r>
      <w:r w:rsidR="004E67B8">
        <w:rPr>
          <w:rFonts w:ascii="Times New Roman" w:hAnsi="Times New Roman" w:cs="B Lotus"/>
          <w:sz w:val="20"/>
          <w:szCs w:val="20"/>
        </w:rPr>
        <w:t xml:space="preserve">n appropriate </w:t>
      </w:r>
      <w:r w:rsidRPr="00900C50">
        <w:rPr>
          <w:rFonts w:ascii="Times New Roman" w:hAnsi="Times New Roman" w:cs="B Lotus"/>
          <w:sz w:val="20"/>
          <w:szCs w:val="20"/>
        </w:rPr>
        <w:t xml:space="preserve">panel of VNTR loci are </w:t>
      </w:r>
      <w:r w:rsidR="004E67B8">
        <w:rPr>
          <w:rFonts w:ascii="Times New Roman" w:hAnsi="Times New Roman" w:cs="B Lotus"/>
          <w:sz w:val="20"/>
          <w:szCs w:val="20"/>
        </w:rPr>
        <w:t xml:space="preserve">sleceted, MLVA typing can provide the capability required for epidemiologic investigations. This is a much needed requirement specifically in the Iranian environment where mini outbreaks of glanders </w:t>
      </w:r>
      <w:r w:rsidR="00D15140">
        <w:rPr>
          <w:rFonts w:ascii="Times New Roman" w:hAnsi="Times New Roman" w:cs="B Lotus"/>
          <w:sz w:val="20"/>
          <w:szCs w:val="20"/>
        </w:rPr>
        <w:t>take place every year.</w:t>
      </w:r>
    </w:p>
    <w:p w:rsidR="002F0F0B" w:rsidRPr="00900C50" w:rsidRDefault="002F0F0B" w:rsidP="002F0F0B">
      <w:pPr>
        <w:autoSpaceDE w:val="0"/>
        <w:autoSpaceDN w:val="0"/>
        <w:bidi w:val="0"/>
        <w:adjustRightInd w:val="0"/>
        <w:spacing w:after="0" w:line="360" w:lineRule="auto"/>
        <w:jc w:val="both"/>
        <w:rPr>
          <w:rFonts w:ascii="Times New Roman" w:hAnsi="Times New Roman" w:cs="B Lotus"/>
          <w:sz w:val="24"/>
          <w:szCs w:val="24"/>
        </w:rPr>
      </w:pPr>
    </w:p>
    <w:p w:rsidR="00111BD4" w:rsidRPr="000634E6" w:rsidRDefault="00111BD4" w:rsidP="00111BD4">
      <w:pPr>
        <w:spacing w:after="0" w:line="240" w:lineRule="auto"/>
        <w:jc w:val="both"/>
        <w:rPr>
          <w:rFonts w:ascii="Times New Roman" w:hAnsi="Times New Roman" w:cs="B Zar"/>
          <w:sz w:val="28"/>
          <w:szCs w:val="28"/>
        </w:rPr>
      </w:pPr>
    </w:p>
    <w:sectPr w:rsidR="00111BD4" w:rsidRPr="000634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4E6"/>
    <w:rsid w:val="000634E6"/>
    <w:rsid w:val="000C3D0E"/>
    <w:rsid w:val="00111BD4"/>
    <w:rsid w:val="001A1079"/>
    <w:rsid w:val="001D234A"/>
    <w:rsid w:val="002F0F0B"/>
    <w:rsid w:val="003814B5"/>
    <w:rsid w:val="00382EB5"/>
    <w:rsid w:val="004E67B8"/>
    <w:rsid w:val="0069556B"/>
    <w:rsid w:val="00A25BD4"/>
    <w:rsid w:val="00A53B2D"/>
    <w:rsid w:val="00AF02CD"/>
    <w:rsid w:val="00C1235F"/>
    <w:rsid w:val="00C54DFF"/>
    <w:rsid w:val="00C63A8A"/>
    <w:rsid w:val="00C7080A"/>
    <w:rsid w:val="00C72AC8"/>
    <w:rsid w:val="00D15140"/>
    <w:rsid w:val="00D22D8D"/>
    <w:rsid w:val="00DA4B0D"/>
    <w:rsid w:val="00E7194E"/>
    <w:rsid w:val="00E9301A"/>
    <w:rsid w:val="00F859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AF2DE6-8C26-486D-891F-E5D98819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4E6"/>
    <w:pPr>
      <w:bidi/>
      <w:spacing w:after="160" w:line="259" w:lineRule="auto"/>
    </w:pPr>
    <w:rPr>
      <w:rFonts w:ascii="Calibri" w:eastAsia="Calibri" w:hAnsi="Calibri" w:cs="Arial"/>
      <w:noProof/>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634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Nader Mosavari</dc:creator>
  <cp:lastModifiedBy>M.Mosavari</cp:lastModifiedBy>
  <cp:revision>6</cp:revision>
  <dcterms:created xsi:type="dcterms:W3CDTF">2018-02-16T19:54:00Z</dcterms:created>
  <dcterms:modified xsi:type="dcterms:W3CDTF">2018-02-16T20:01:00Z</dcterms:modified>
</cp:coreProperties>
</file>