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B47B86" w14:textId="5A916250" w:rsidR="00AE3E37" w:rsidRDefault="00104331" w:rsidP="00494130">
      <w:pPr>
        <w:pStyle w:val="Ttulo1"/>
        <w:spacing w:before="170"/>
        <w:ind w:left="0"/>
      </w:pPr>
      <w:bookmarkStart w:id="0" w:name="_Hlk495760307"/>
      <w:bookmarkEnd w:id="0"/>
      <w:r>
        <w:rPr>
          <w:color w:val="337AB7"/>
        </w:rPr>
        <w:t xml:space="preserve">Application of a </w:t>
      </w:r>
      <w:r>
        <w:rPr>
          <w:rFonts w:ascii="Cambria Math" w:hAnsi="Cambria Math"/>
          <w:color w:val="337AB7"/>
        </w:rPr>
        <w:t>γ</w:t>
      </w:r>
      <w:r>
        <w:rPr>
          <w:color w:val="337AB7"/>
        </w:rPr>
        <w:t xml:space="preserve">-polyglutamic acid flocculant to water treatment </w:t>
      </w:r>
    </w:p>
    <w:p w14:paraId="5623645E" w14:textId="1E9E6D67" w:rsidR="00C442F1" w:rsidRDefault="007F391E" w:rsidP="00C442F1">
      <w:pPr>
        <w:pStyle w:val="Corpodetexto"/>
        <w:spacing w:before="73" w:line="198" w:lineRule="exact"/>
        <w:ind w:right="5987"/>
        <w:rPr>
          <w:rFonts w:ascii="Arial"/>
        </w:rPr>
      </w:pPr>
      <w:r>
        <w:rPr>
          <w:rFonts w:ascii="Arial"/>
        </w:rPr>
        <w:t xml:space="preserve"> </w:t>
      </w:r>
      <w:r w:rsidR="00C442F1">
        <w:rPr>
          <w:rFonts w:ascii="Arial"/>
        </w:rPr>
        <w:t>Valqu</w:t>
      </w:r>
      <w:r w:rsidR="00C442F1">
        <w:rPr>
          <w:rFonts w:ascii="Arial"/>
        </w:rPr>
        <w:t>í</w:t>
      </w:r>
      <w:r w:rsidR="00C442F1">
        <w:rPr>
          <w:rFonts w:ascii="Arial"/>
        </w:rPr>
        <w:t xml:space="preserve">ria Campos, PhD, ICT </w:t>
      </w:r>
      <w:r w:rsidR="009E0501">
        <w:rPr>
          <w:rFonts w:ascii="Arial"/>
        </w:rPr>
        <w:t xml:space="preserve">of </w:t>
      </w:r>
      <w:r w:rsidR="00C442F1">
        <w:rPr>
          <w:rFonts w:ascii="Arial"/>
        </w:rPr>
        <w:t>Sorocaba, UNESP, Brazil</w:t>
      </w:r>
    </w:p>
    <w:p w14:paraId="66F387F0" w14:textId="3ED7D36C" w:rsidR="005973B9" w:rsidRDefault="007F391E" w:rsidP="0059270E">
      <w:pPr>
        <w:pStyle w:val="Corpodetexto"/>
        <w:spacing w:before="73" w:line="198" w:lineRule="exact"/>
        <w:ind w:right="5987"/>
        <w:rPr>
          <w:rFonts w:ascii="Arial"/>
        </w:rPr>
      </w:pPr>
      <w:r>
        <w:rPr>
          <w:rFonts w:ascii="Arial"/>
        </w:rPr>
        <w:t xml:space="preserve"> </w:t>
      </w:r>
      <w:r w:rsidR="00C442F1">
        <w:rPr>
          <w:rFonts w:ascii="Arial"/>
        </w:rPr>
        <w:t xml:space="preserve">Isaac J </w:t>
      </w:r>
      <w:proofErr w:type="spellStart"/>
      <w:r w:rsidR="00C442F1">
        <w:rPr>
          <w:rFonts w:ascii="Arial"/>
        </w:rPr>
        <w:t>Sayeg</w:t>
      </w:r>
      <w:proofErr w:type="spellEnd"/>
      <w:r w:rsidR="00C442F1">
        <w:rPr>
          <w:rFonts w:ascii="Arial"/>
        </w:rPr>
        <w:t>, PhD, Institute of Geoscience, USP, Brazil</w:t>
      </w:r>
    </w:p>
    <w:p w14:paraId="27B2F9B3" w14:textId="77777777" w:rsidR="00AE3E37" w:rsidRDefault="00AE3E37">
      <w:pPr>
        <w:pStyle w:val="Corpodetexto"/>
        <w:rPr>
          <w:rFonts w:ascii="Arial"/>
          <w:sz w:val="20"/>
        </w:rPr>
      </w:pPr>
    </w:p>
    <w:p w14:paraId="18221701" w14:textId="77777777" w:rsidR="00AE3E37" w:rsidRDefault="00AE3E37">
      <w:pPr>
        <w:pStyle w:val="Corpodetexto"/>
        <w:spacing w:before="3"/>
        <w:rPr>
          <w:rFonts w:ascii="Arial"/>
          <w:sz w:val="21"/>
        </w:rPr>
      </w:pPr>
    </w:p>
    <w:p w14:paraId="6ED94612"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20621009" w14:textId="4BFDDB40" w:rsidR="00AE3E37" w:rsidRDefault="00A9710C" w:rsidP="007F391E">
      <w:pPr>
        <w:pStyle w:val="Ttulo3"/>
        <w:spacing w:before="147"/>
        <w:ind w:left="0"/>
        <w:jc w:val="both"/>
      </w:pPr>
      <w:bookmarkStart w:id="1" w:name="_GoBack"/>
      <w:bookmarkEnd w:id="1"/>
      <w:r>
        <w:rPr>
          <w:color w:val="BF5A14"/>
        </w:rPr>
        <w:t>Abstract</w:t>
      </w:r>
      <w:r w:rsidR="003A0CFB">
        <w:rPr>
          <w:color w:val="BF5A14"/>
        </w:rPr>
        <w:t xml:space="preserve"> </w:t>
      </w:r>
    </w:p>
    <w:p w14:paraId="47DAA7CC" w14:textId="33395C2F" w:rsidR="00104331" w:rsidRDefault="00104331" w:rsidP="003A0CFB">
      <w:pPr>
        <w:pStyle w:val="Corpodetexto"/>
        <w:spacing w:before="90"/>
        <w:jc w:val="both"/>
      </w:pPr>
    </w:p>
    <w:p w14:paraId="55D8C073" w14:textId="138A4D4F" w:rsidR="00104331" w:rsidRPr="00AB09EE" w:rsidRDefault="00104331" w:rsidP="007F391E">
      <w:pPr>
        <w:spacing w:line="360" w:lineRule="auto"/>
        <w:jc w:val="both"/>
        <w:rPr>
          <w:sz w:val="18"/>
          <w:szCs w:val="18"/>
        </w:rPr>
      </w:pPr>
      <w:r w:rsidRPr="00AB09EE">
        <w:rPr>
          <w:rFonts w:cstheme="minorHAnsi"/>
          <w:sz w:val="18"/>
          <w:szCs w:val="18"/>
        </w:rPr>
        <w:t>Gamma-polyglutamic acid (</w:t>
      </w:r>
      <w:r w:rsidRPr="00AB09EE">
        <w:rPr>
          <w:rFonts w:ascii="Calibri" w:hAnsi="Calibri" w:cs="Calibri"/>
          <w:sz w:val="18"/>
          <w:szCs w:val="18"/>
        </w:rPr>
        <w:t>γ</w:t>
      </w:r>
      <w:r w:rsidRPr="00AB09EE">
        <w:rPr>
          <w:rFonts w:cstheme="minorHAnsi"/>
          <w:sz w:val="18"/>
          <w:szCs w:val="18"/>
        </w:rPr>
        <w:t xml:space="preserve">-PGA) has received considerable attention for environmental applications.  </w:t>
      </w:r>
      <w:r w:rsidRPr="00AB09EE">
        <w:rPr>
          <w:rFonts w:ascii="Calibri" w:hAnsi="Calibri" w:cs="Calibri"/>
          <w:sz w:val="18"/>
          <w:szCs w:val="18"/>
        </w:rPr>
        <w:t>γ</w:t>
      </w:r>
      <w:r w:rsidRPr="00AB09EE">
        <w:rPr>
          <w:rFonts w:cstheme="minorHAnsi"/>
          <w:sz w:val="18"/>
          <w:szCs w:val="18"/>
        </w:rPr>
        <w:t xml:space="preserve">-PGA can be produced by fermenting soybeans using the bacterium </w:t>
      </w:r>
      <w:r w:rsidRPr="00D77AC2">
        <w:rPr>
          <w:rFonts w:cstheme="minorHAnsi"/>
          <w:i/>
          <w:sz w:val="18"/>
          <w:szCs w:val="18"/>
        </w:rPr>
        <w:t>Bacillus subtilis</w:t>
      </w:r>
      <w:r w:rsidRPr="00AB09EE">
        <w:rPr>
          <w:rFonts w:cstheme="minorHAnsi"/>
          <w:i/>
          <w:sz w:val="18"/>
          <w:szCs w:val="18"/>
        </w:rPr>
        <w:t xml:space="preserve"> </w:t>
      </w:r>
      <w:r w:rsidRPr="00AB09EE">
        <w:rPr>
          <w:rFonts w:cstheme="minorHAnsi"/>
          <w:sz w:val="18"/>
          <w:szCs w:val="18"/>
        </w:rPr>
        <w:t>found in foods such as natto</w:t>
      </w:r>
      <w:r w:rsidR="009E0501">
        <w:rPr>
          <w:rFonts w:cstheme="minorHAnsi"/>
          <w:sz w:val="18"/>
          <w:szCs w:val="18"/>
        </w:rPr>
        <w:t xml:space="preserve"> (Figure 1)</w:t>
      </w:r>
      <w:r w:rsidRPr="00AB09EE">
        <w:rPr>
          <w:rFonts w:cstheme="minorHAnsi"/>
          <w:sz w:val="18"/>
          <w:szCs w:val="18"/>
        </w:rPr>
        <w:t xml:space="preserve">, which is considered a delicacy in Japan. Most biopolymer applications are directly linked to their potential to respond to changes in the environment in which they are dissolved. An approach aimed at understanding the structural changes, conformation and associations of polymer chains, as well as their practical applications, is of great scientific interest. This work focuses on the extraction and quantification of </w:t>
      </w:r>
      <w:r w:rsidRPr="00AB09EE">
        <w:rPr>
          <w:rFonts w:ascii="Calibri" w:hAnsi="Calibri" w:cs="Calibri"/>
          <w:sz w:val="18"/>
          <w:szCs w:val="18"/>
        </w:rPr>
        <w:t>γ</w:t>
      </w:r>
      <w:r w:rsidRPr="00AB09EE">
        <w:rPr>
          <w:rFonts w:cstheme="minorHAnsi"/>
          <w:sz w:val="18"/>
          <w:szCs w:val="18"/>
        </w:rPr>
        <w:t xml:space="preserve">-polyglutamic acid from natto, a fermented soybean food.  The </w:t>
      </w:r>
      <w:r w:rsidRPr="00AB09EE">
        <w:rPr>
          <w:rFonts w:ascii="Calibri" w:hAnsi="Calibri" w:cs="Calibri"/>
          <w:sz w:val="18"/>
          <w:szCs w:val="18"/>
        </w:rPr>
        <w:t>γ</w:t>
      </w:r>
      <w:r w:rsidRPr="00AB09EE">
        <w:rPr>
          <w:rFonts w:cstheme="minorHAnsi"/>
          <w:sz w:val="18"/>
          <w:szCs w:val="18"/>
        </w:rPr>
        <w:t xml:space="preserve">-PGA extraction method using methanol proved to be more efficient than extraction with ethyl alcohol and acetone.  The extraction of </w:t>
      </w:r>
      <w:r w:rsidRPr="00AB09EE">
        <w:rPr>
          <w:rFonts w:ascii="Calibri" w:hAnsi="Calibri" w:cs="Calibri"/>
          <w:sz w:val="18"/>
          <w:szCs w:val="18"/>
        </w:rPr>
        <w:t>γ</w:t>
      </w:r>
      <w:r w:rsidRPr="00AB09EE">
        <w:rPr>
          <w:rFonts w:cstheme="minorHAnsi"/>
          <w:sz w:val="18"/>
          <w:szCs w:val="18"/>
        </w:rPr>
        <w:t xml:space="preserve">-PGA using methanol yielded 4.72 g </w:t>
      </w:r>
      <w:r w:rsidRPr="00D77AC2">
        <w:rPr>
          <w:rFonts w:cstheme="minorHAnsi"/>
          <w:sz w:val="18"/>
          <w:szCs w:val="18"/>
        </w:rPr>
        <w:t>kg</w:t>
      </w:r>
      <w:r w:rsidRPr="00D77AC2">
        <w:rPr>
          <w:rFonts w:cstheme="minorHAnsi"/>
          <w:sz w:val="18"/>
          <w:szCs w:val="18"/>
          <w:vertAlign w:val="superscript"/>
        </w:rPr>
        <w:t>-1</w:t>
      </w:r>
      <w:r w:rsidRPr="00D77AC2">
        <w:rPr>
          <w:rFonts w:cstheme="minorHAnsi"/>
          <w:sz w:val="18"/>
          <w:szCs w:val="18"/>
        </w:rPr>
        <w:t xml:space="preserve"> of natto.</w:t>
      </w:r>
      <w:r w:rsidR="00AB09EE" w:rsidRPr="00D77AC2">
        <w:rPr>
          <w:sz w:val="18"/>
          <w:szCs w:val="18"/>
        </w:rPr>
        <w:t xml:space="preserve"> </w:t>
      </w:r>
      <w:r w:rsidR="00D77AC2" w:rsidRPr="00D77AC2">
        <w:rPr>
          <w:sz w:val="18"/>
          <w:szCs w:val="18"/>
        </w:rPr>
        <w:t xml:space="preserve">After, </w:t>
      </w:r>
      <w:r w:rsidR="00D77AC2" w:rsidRPr="00D77AC2">
        <w:rPr>
          <w:rFonts w:eastAsiaTheme="minorHAnsi"/>
          <w:sz w:val="18"/>
          <w:szCs w:val="18"/>
        </w:rPr>
        <w:t>a</w:t>
      </w:r>
      <w:r w:rsidRPr="00D77AC2">
        <w:rPr>
          <w:rFonts w:eastAsiaTheme="minorHAnsi"/>
          <w:sz w:val="18"/>
          <w:szCs w:val="18"/>
        </w:rPr>
        <w:t xml:space="preserve"> conventional jar test apparatus was used for flocculation experiments. </w:t>
      </w:r>
      <w:r w:rsidR="00D77AC2" w:rsidRPr="00D77AC2">
        <w:rPr>
          <w:sz w:val="18"/>
          <w:szCs w:val="18"/>
        </w:rPr>
        <w:t>The commercial coagulants used in the coagulation-flocculation-sedimentation tests were aluminum sulfate (16% Al</w:t>
      </w:r>
      <w:r w:rsidR="00D77AC2" w:rsidRPr="00D77AC2">
        <w:rPr>
          <w:sz w:val="18"/>
          <w:szCs w:val="18"/>
          <w:vertAlign w:val="subscript"/>
        </w:rPr>
        <w:t>2</w:t>
      </w:r>
      <w:r w:rsidR="00D77AC2" w:rsidRPr="00D77AC2">
        <w:rPr>
          <w:sz w:val="18"/>
          <w:szCs w:val="18"/>
        </w:rPr>
        <w:t>O</w:t>
      </w:r>
      <w:r w:rsidR="00D77AC2" w:rsidRPr="00D77AC2">
        <w:rPr>
          <w:sz w:val="18"/>
          <w:szCs w:val="18"/>
          <w:vertAlign w:val="subscript"/>
        </w:rPr>
        <w:t>3</w:t>
      </w:r>
      <w:r w:rsidR="00D77AC2" w:rsidRPr="00D77AC2">
        <w:rPr>
          <w:sz w:val="18"/>
          <w:szCs w:val="18"/>
        </w:rPr>
        <w:t>) and PAC (9.59% Al</w:t>
      </w:r>
      <w:r w:rsidR="00D77AC2" w:rsidRPr="00D77AC2">
        <w:rPr>
          <w:sz w:val="18"/>
          <w:szCs w:val="18"/>
          <w:vertAlign w:val="subscript"/>
        </w:rPr>
        <w:t>2</w:t>
      </w:r>
      <w:r w:rsidR="00D77AC2" w:rsidRPr="00D77AC2">
        <w:rPr>
          <w:sz w:val="18"/>
          <w:szCs w:val="18"/>
        </w:rPr>
        <w:t>O</w:t>
      </w:r>
      <w:r w:rsidR="00D77AC2" w:rsidRPr="00D77AC2">
        <w:rPr>
          <w:sz w:val="18"/>
          <w:szCs w:val="18"/>
          <w:vertAlign w:val="subscript"/>
        </w:rPr>
        <w:t>3</w:t>
      </w:r>
      <w:r w:rsidR="00D77AC2">
        <w:rPr>
          <w:sz w:val="18"/>
          <w:szCs w:val="18"/>
        </w:rPr>
        <w:t>)</w:t>
      </w:r>
      <w:r w:rsidR="00D77AC2" w:rsidRPr="00D77AC2">
        <w:rPr>
          <w:sz w:val="18"/>
          <w:szCs w:val="18"/>
        </w:rPr>
        <w:t xml:space="preserve">. The levels of coagulants were established based on preliminary tests </w:t>
      </w:r>
      <w:r w:rsidR="00D77AC2" w:rsidRPr="00D77AC2">
        <w:rPr>
          <w:color w:val="000000" w:themeColor="text1"/>
          <w:sz w:val="18"/>
          <w:szCs w:val="18"/>
        </w:rPr>
        <w:t xml:space="preserve">and recommended by the WTP, but the parameters of pH and temperature of the raw water were not changed. The optimum operating conditions for </w:t>
      </w:r>
      <w:proofErr w:type="spellStart"/>
      <w:r w:rsidR="00D77AC2" w:rsidRPr="00D77AC2">
        <w:rPr>
          <w:color w:val="000000" w:themeColor="text1"/>
          <w:sz w:val="18"/>
          <w:szCs w:val="18"/>
        </w:rPr>
        <w:t>bioflocculant</w:t>
      </w:r>
      <w:proofErr w:type="spellEnd"/>
      <w:r w:rsidR="00D77AC2" w:rsidRPr="00D77AC2">
        <w:rPr>
          <w:color w:val="000000" w:themeColor="text1"/>
          <w:sz w:val="18"/>
          <w:szCs w:val="18"/>
        </w:rPr>
        <w:t xml:space="preserve"> treatment were determined by the jar test pro</w:t>
      </w:r>
      <w:r w:rsidR="00D77AC2">
        <w:rPr>
          <w:color w:val="000000" w:themeColor="text1"/>
          <w:sz w:val="18"/>
          <w:szCs w:val="18"/>
        </w:rPr>
        <w:t xml:space="preserve">cedure and, in this case, the </w:t>
      </w:r>
      <w:r w:rsidR="00D77AC2" w:rsidRPr="00AB09EE">
        <w:rPr>
          <w:rFonts w:ascii="Calibri" w:hAnsi="Calibri" w:cs="Calibri"/>
          <w:sz w:val="18"/>
          <w:szCs w:val="18"/>
        </w:rPr>
        <w:t>γ</w:t>
      </w:r>
      <w:r w:rsidR="00D77AC2" w:rsidRPr="00AB09EE">
        <w:rPr>
          <w:rFonts w:cstheme="minorHAnsi"/>
          <w:sz w:val="18"/>
          <w:szCs w:val="18"/>
        </w:rPr>
        <w:t>-PGA</w:t>
      </w:r>
      <w:r w:rsidR="00D77AC2" w:rsidRPr="00D77AC2">
        <w:rPr>
          <w:color w:val="000000" w:themeColor="text1"/>
          <w:sz w:val="18"/>
          <w:szCs w:val="18"/>
        </w:rPr>
        <w:t xml:space="preserve"> was used directly in its powder form for the jar test. </w:t>
      </w:r>
      <w:r w:rsidRPr="00D77AC2">
        <w:rPr>
          <w:sz w:val="18"/>
          <w:szCs w:val="18"/>
        </w:rPr>
        <w:t xml:space="preserve">The tests were performed using raw water from the Salto de </w:t>
      </w:r>
      <w:proofErr w:type="spellStart"/>
      <w:r w:rsidRPr="00D77AC2">
        <w:rPr>
          <w:sz w:val="18"/>
          <w:szCs w:val="18"/>
        </w:rPr>
        <w:t>Pirapora</w:t>
      </w:r>
      <w:proofErr w:type="spellEnd"/>
      <w:r w:rsidRPr="00D77AC2">
        <w:rPr>
          <w:sz w:val="18"/>
          <w:szCs w:val="18"/>
        </w:rPr>
        <w:t xml:space="preserve"> Water Treatment Plant (WTP) in the state of São Paulo, Brazil. </w:t>
      </w:r>
      <w:r w:rsidRPr="00D77AC2">
        <w:rPr>
          <w:sz w:val="18"/>
          <w:szCs w:val="18"/>
          <w:shd w:val="clear" w:color="auto" w:fill="FFFFFF"/>
        </w:rPr>
        <w:t xml:space="preserve">The performance of PGA </w:t>
      </w:r>
      <w:proofErr w:type="spellStart"/>
      <w:r w:rsidRPr="00D77AC2">
        <w:rPr>
          <w:sz w:val="18"/>
          <w:szCs w:val="18"/>
          <w:shd w:val="clear" w:color="auto" w:fill="FFFFFF"/>
        </w:rPr>
        <w:t>bioflocculant</w:t>
      </w:r>
      <w:proofErr w:type="spellEnd"/>
      <w:r w:rsidRPr="00D77AC2">
        <w:rPr>
          <w:sz w:val="18"/>
          <w:szCs w:val="18"/>
          <w:shd w:val="clear" w:color="auto" w:fill="FFFFFF"/>
        </w:rPr>
        <w:t xml:space="preserve"> was superior to that </w:t>
      </w:r>
      <w:r w:rsidRPr="00AB09EE">
        <w:rPr>
          <w:sz w:val="18"/>
          <w:szCs w:val="18"/>
          <w:shd w:val="clear" w:color="auto" w:fill="FFFFFF"/>
        </w:rPr>
        <w:t xml:space="preserve">of the other coagulants.  In </w:t>
      </w:r>
      <w:r w:rsidR="00AB09EE" w:rsidRPr="00AB09EE">
        <w:rPr>
          <w:sz w:val="18"/>
          <w:szCs w:val="18"/>
        </w:rPr>
        <w:t>the dry season, 65</w:t>
      </w:r>
      <w:r w:rsidRPr="00AB09EE">
        <w:rPr>
          <w:sz w:val="18"/>
          <w:szCs w:val="18"/>
        </w:rPr>
        <w:t xml:space="preserve"> mg L</w:t>
      </w:r>
      <w:r w:rsidRPr="00AB09EE">
        <w:rPr>
          <w:sz w:val="18"/>
          <w:szCs w:val="18"/>
          <w:vertAlign w:val="superscript"/>
        </w:rPr>
        <w:t>-</w:t>
      </w:r>
      <w:r w:rsidR="00AB09EE" w:rsidRPr="00AB09EE">
        <w:rPr>
          <w:sz w:val="18"/>
          <w:szCs w:val="18"/>
        </w:rPr>
        <w:t xml:space="preserve">¹ of new formulation </w:t>
      </w:r>
      <w:r w:rsidR="00AB09EE" w:rsidRPr="00AB09EE">
        <w:rPr>
          <w:rFonts w:ascii="Calibri" w:hAnsi="Calibri" w:cs="Calibri"/>
          <w:sz w:val="18"/>
          <w:szCs w:val="18"/>
        </w:rPr>
        <w:t>γ</w:t>
      </w:r>
      <w:r w:rsidR="00AB09EE" w:rsidRPr="00AB09EE">
        <w:rPr>
          <w:rFonts w:cstheme="minorHAnsi"/>
          <w:sz w:val="18"/>
          <w:szCs w:val="18"/>
        </w:rPr>
        <w:t>-PGA</w:t>
      </w:r>
      <w:r w:rsidR="00AB09EE" w:rsidRPr="00AB09EE">
        <w:rPr>
          <w:sz w:val="18"/>
          <w:szCs w:val="18"/>
        </w:rPr>
        <w:t xml:space="preserve"> removed 93.12</w:t>
      </w:r>
      <w:r w:rsidRPr="00AB09EE">
        <w:rPr>
          <w:sz w:val="18"/>
          <w:szCs w:val="18"/>
        </w:rPr>
        <w:t>% of apparent col</w:t>
      </w:r>
      <w:r w:rsidR="00AB09EE" w:rsidRPr="00AB09EE">
        <w:rPr>
          <w:sz w:val="18"/>
          <w:szCs w:val="18"/>
        </w:rPr>
        <w:t>or, and residual turbidity was 3.38</w:t>
      </w:r>
      <w:r w:rsidRPr="00AB09EE">
        <w:rPr>
          <w:sz w:val="18"/>
          <w:szCs w:val="18"/>
        </w:rPr>
        <w:t xml:space="preserve"> NTU</w:t>
      </w:r>
      <w:r w:rsidR="00AB09EE" w:rsidRPr="00AB09EE">
        <w:rPr>
          <w:sz w:val="18"/>
          <w:szCs w:val="18"/>
        </w:rPr>
        <w:t>.</w:t>
      </w:r>
    </w:p>
    <w:p w14:paraId="387BA22F" w14:textId="77777777" w:rsidR="003A0CFB" w:rsidRPr="00DB1CCA" w:rsidRDefault="003A0CFB" w:rsidP="001B211F">
      <w:pPr>
        <w:jc w:val="both"/>
        <w:rPr>
          <w:color w:val="FF0000"/>
        </w:rPr>
      </w:pPr>
    </w:p>
    <w:p w14:paraId="5E6C4774" w14:textId="1453FACE" w:rsidR="00104331" w:rsidRDefault="003A0CFB" w:rsidP="003A0CFB">
      <w:pPr>
        <w:pStyle w:val="Corpodetexto"/>
        <w:spacing w:before="90" w:line="280" w:lineRule="auto"/>
        <w:ind w:left="100"/>
        <w:jc w:val="center"/>
      </w:pPr>
      <w:r>
        <w:rPr>
          <w:noProof/>
        </w:rPr>
        <w:drawing>
          <wp:inline distT="0" distB="0" distL="0" distR="0" wp14:anchorId="74C966DB" wp14:editId="2E13C602">
            <wp:extent cx="2243541" cy="1999615"/>
            <wp:effectExtent l="0" t="0" r="4445" b="635"/>
            <wp:docPr id="3" name="Imagem 3" descr="C:\Users\vcamp\AppData\Local\Microsoft\Windows\INetCache\Content.Word\Infográfico colori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camp\AppData\Local\Microsoft\Windows\INetCache\Content.Word\Infográfico colorido.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64828" cy="2018587"/>
                    </a:xfrm>
                    <a:prstGeom prst="rect">
                      <a:avLst/>
                    </a:prstGeom>
                    <a:noFill/>
                    <a:ln>
                      <a:noFill/>
                    </a:ln>
                  </pic:spPr>
                </pic:pic>
              </a:graphicData>
            </a:graphic>
          </wp:inline>
        </w:drawing>
      </w:r>
    </w:p>
    <w:p w14:paraId="0CFCBC22" w14:textId="17E81508" w:rsidR="00A846B6" w:rsidRDefault="00A846B6">
      <w:pPr>
        <w:pStyle w:val="Corpodetexto"/>
        <w:spacing w:before="90" w:line="280" w:lineRule="auto"/>
        <w:ind w:left="100"/>
        <w:jc w:val="both"/>
      </w:pPr>
    </w:p>
    <w:p w14:paraId="17DFFEA9" w14:textId="375398BE" w:rsidR="00AE3E37" w:rsidRPr="003A0CFB" w:rsidRDefault="001B211F" w:rsidP="0059270E">
      <w:pPr>
        <w:pStyle w:val="Legenda"/>
        <w:keepNext/>
        <w:spacing w:line="360" w:lineRule="auto"/>
        <w:jc w:val="center"/>
        <w:rPr>
          <w:rFonts w:ascii="Tw Cen MT" w:hAnsi="Tw Cen MT" w:cstheme="minorHAnsi"/>
          <w:b w:val="0"/>
          <w:color w:val="auto"/>
          <w:lang w:val="en-US"/>
        </w:rPr>
      </w:pPr>
      <w:r w:rsidRPr="001B211F">
        <w:rPr>
          <w:rFonts w:ascii="Tw Cen MT" w:hAnsi="Tw Cen MT" w:cstheme="minorHAnsi"/>
          <w:b w:val="0"/>
          <w:color w:val="auto"/>
          <w:lang w:val="en-US"/>
        </w:rPr>
        <w:t>Figure 1. Illustrative representation of the sequence for obtaining y-PGA: 1 – soy [</w:t>
      </w:r>
      <w:proofErr w:type="spellStart"/>
      <w:r w:rsidRPr="001B211F">
        <w:rPr>
          <w:rFonts w:ascii="Tw Cen MT" w:hAnsi="Tw Cen MT" w:cstheme="minorHAnsi"/>
          <w:b w:val="0"/>
          <w:i/>
          <w:color w:val="auto"/>
          <w:lang w:val="en-US"/>
        </w:rPr>
        <w:t>Glycinemax</w:t>
      </w:r>
      <w:proofErr w:type="spellEnd"/>
      <w:r w:rsidRPr="001B211F">
        <w:rPr>
          <w:rFonts w:ascii="Tw Cen MT" w:hAnsi="Tw Cen MT" w:cstheme="minorHAnsi"/>
          <w:b w:val="0"/>
          <w:color w:val="auto"/>
          <w:lang w:val="en-US"/>
        </w:rPr>
        <w:t xml:space="preserve"> (L.) Merrill]; 2 – soy beans; 3 – natto, with apparent viscosity; 4 – chemical formula of </w:t>
      </w:r>
      <w:r w:rsidRPr="001B211F">
        <w:rPr>
          <w:rFonts w:ascii="Calibri" w:hAnsi="Calibri" w:cs="Calibri"/>
          <w:b w:val="0"/>
          <w:color w:val="auto"/>
          <w:lang w:val="en-US"/>
        </w:rPr>
        <w:t>γ</w:t>
      </w:r>
      <w:r w:rsidR="0059270E">
        <w:rPr>
          <w:rFonts w:ascii="Tw Cen MT" w:hAnsi="Tw Cen MT" w:cstheme="minorHAnsi"/>
          <w:b w:val="0"/>
          <w:color w:val="auto"/>
          <w:lang w:val="en-US"/>
        </w:rPr>
        <w:t>-polyglutamic acid.</w:t>
      </w:r>
    </w:p>
    <w:p w14:paraId="07394EAC" w14:textId="0B090621" w:rsidR="00AE3E37" w:rsidRDefault="00AE3E37">
      <w:pPr>
        <w:pStyle w:val="Corpodetexto"/>
        <w:spacing w:before="2"/>
        <w:rPr>
          <w:rFonts w:ascii="Arial"/>
          <w:b/>
          <w:sz w:val="16"/>
        </w:rPr>
      </w:pPr>
    </w:p>
    <w:p w14:paraId="3C8BD595" w14:textId="62E56C3D" w:rsidR="005973B9" w:rsidRDefault="00F54ED5" w:rsidP="005973B9">
      <w:pPr>
        <w:spacing w:line="204" w:lineRule="exact"/>
        <w:rPr>
          <w:rFonts w:ascii="Arial"/>
          <w:b/>
          <w:color w:val="BF5A14"/>
          <w:sz w:val="20"/>
        </w:rPr>
      </w:pPr>
      <w:r>
        <w:rPr>
          <w:rFonts w:ascii="Arial"/>
          <w:b/>
          <w:color w:val="BF5A14"/>
          <w:sz w:val="20"/>
        </w:rPr>
        <w:t xml:space="preserve">Recent Publications </w:t>
      </w:r>
    </w:p>
    <w:p w14:paraId="4DB28521" w14:textId="54AA296A" w:rsidR="00CA4AE3" w:rsidRDefault="00CA4AE3" w:rsidP="005973B9">
      <w:pPr>
        <w:spacing w:line="204" w:lineRule="exact"/>
        <w:rPr>
          <w:rFonts w:ascii="Arial"/>
          <w:b/>
          <w:color w:val="BF5A14"/>
          <w:sz w:val="20"/>
        </w:rPr>
      </w:pPr>
    </w:p>
    <w:p w14:paraId="08E07540" w14:textId="54B5F108" w:rsidR="00CA4AE3" w:rsidRPr="00F54ED5" w:rsidRDefault="00CA4AE3" w:rsidP="00CA4AE3">
      <w:pPr>
        <w:pStyle w:val="PargrafodaLista"/>
        <w:widowControl/>
        <w:spacing w:before="0" w:line="240" w:lineRule="auto"/>
        <w:ind w:left="0" w:firstLine="0"/>
        <w:contextualSpacing/>
        <w:rPr>
          <w:rFonts w:asciiTheme="minorHAnsi" w:eastAsia="Times New Roman" w:hAnsiTheme="minorHAnsi" w:cstheme="minorHAnsi"/>
          <w:sz w:val="18"/>
          <w:szCs w:val="18"/>
          <w:lang w:eastAsia="pt-BR"/>
        </w:rPr>
      </w:pPr>
      <w:r w:rsidRPr="00F54ED5">
        <w:rPr>
          <w:rFonts w:asciiTheme="minorHAnsi" w:hAnsiTheme="minorHAnsi" w:cstheme="minorHAnsi"/>
          <w:sz w:val="18"/>
          <w:szCs w:val="18"/>
        </w:rPr>
        <w:t xml:space="preserve">1. </w:t>
      </w:r>
      <w:r w:rsidR="00F54ED5" w:rsidRPr="00F54ED5">
        <w:rPr>
          <w:rFonts w:asciiTheme="minorHAnsi" w:hAnsiTheme="minorHAnsi" w:cstheme="minorHAnsi"/>
          <w:sz w:val="18"/>
          <w:szCs w:val="18"/>
        </w:rPr>
        <w:t>Campos V (2017)</w:t>
      </w:r>
      <w:r w:rsidRPr="00F54ED5">
        <w:rPr>
          <w:rStyle w:val="apple-converted-space"/>
          <w:rFonts w:asciiTheme="minorHAnsi" w:hAnsiTheme="minorHAnsi" w:cstheme="minorHAnsi"/>
          <w:sz w:val="18"/>
          <w:szCs w:val="18"/>
          <w:shd w:val="clear" w:color="auto" w:fill="FFFFFF"/>
        </w:rPr>
        <w:t> </w:t>
      </w:r>
      <w:r w:rsidRPr="00F54ED5">
        <w:rPr>
          <w:rFonts w:asciiTheme="minorHAnsi" w:hAnsiTheme="minorHAnsi" w:cstheme="minorHAnsi"/>
          <w:sz w:val="18"/>
          <w:szCs w:val="18"/>
          <w:shd w:val="clear" w:color="auto" w:fill="FFFFFF"/>
        </w:rPr>
        <w:t xml:space="preserve">Disturbance response indicators of I. </w:t>
      </w:r>
      <w:proofErr w:type="spellStart"/>
      <w:r w:rsidRPr="00F54ED5">
        <w:rPr>
          <w:rFonts w:asciiTheme="minorHAnsi" w:hAnsiTheme="minorHAnsi" w:cstheme="minorHAnsi"/>
          <w:sz w:val="18"/>
          <w:szCs w:val="18"/>
          <w:shd w:val="clear" w:color="auto" w:fill="FFFFFF"/>
        </w:rPr>
        <w:t>walleriana</w:t>
      </w:r>
      <w:proofErr w:type="spellEnd"/>
      <w:r w:rsidRPr="00F54ED5">
        <w:rPr>
          <w:rFonts w:asciiTheme="minorHAnsi" w:hAnsiTheme="minorHAnsi" w:cstheme="minorHAnsi"/>
          <w:sz w:val="18"/>
          <w:szCs w:val="18"/>
          <w:shd w:val="clear" w:color="auto" w:fill="FFFFFF"/>
        </w:rPr>
        <w:t xml:space="preserve"> exposed to benzene and chromium. International Journal of Phytoremediation, v. 1, </w:t>
      </w:r>
      <w:r w:rsidR="00F54ED5" w:rsidRPr="00F54ED5">
        <w:rPr>
          <w:rFonts w:asciiTheme="minorHAnsi" w:hAnsiTheme="minorHAnsi" w:cstheme="minorHAnsi"/>
          <w:sz w:val="18"/>
          <w:szCs w:val="18"/>
          <w:shd w:val="clear" w:color="auto" w:fill="FFFFFF"/>
        </w:rPr>
        <w:t>p. 1234-1244</w:t>
      </w:r>
      <w:r w:rsidRPr="00F54ED5">
        <w:rPr>
          <w:rFonts w:asciiTheme="minorHAnsi" w:hAnsiTheme="minorHAnsi" w:cstheme="minorHAnsi"/>
          <w:sz w:val="18"/>
          <w:szCs w:val="18"/>
          <w:shd w:val="clear" w:color="auto" w:fill="FFFFFF"/>
        </w:rPr>
        <w:t>.</w:t>
      </w:r>
    </w:p>
    <w:p w14:paraId="25FEC090" w14:textId="6787B21C" w:rsidR="00CA4AE3" w:rsidRPr="00F54ED5" w:rsidRDefault="00F315A6" w:rsidP="00F315A6">
      <w:pPr>
        <w:pStyle w:val="PargrafodaLista"/>
        <w:widowControl/>
        <w:spacing w:before="0" w:line="240" w:lineRule="auto"/>
        <w:ind w:left="0" w:firstLine="0"/>
        <w:contextualSpacing/>
        <w:rPr>
          <w:rFonts w:asciiTheme="minorHAnsi" w:eastAsia="Times New Roman" w:hAnsiTheme="minorHAnsi" w:cstheme="minorHAnsi"/>
          <w:sz w:val="18"/>
          <w:szCs w:val="18"/>
          <w:lang w:eastAsia="pt-BR"/>
        </w:rPr>
      </w:pPr>
      <w:r w:rsidRPr="00F54ED5">
        <w:rPr>
          <w:rFonts w:asciiTheme="minorHAnsi" w:hAnsiTheme="minorHAnsi" w:cstheme="minorHAnsi"/>
          <w:bCs/>
          <w:sz w:val="18"/>
          <w:szCs w:val="18"/>
          <w:bdr w:val="none" w:sz="0" w:space="0" w:color="auto" w:frame="1"/>
          <w:shd w:val="clear" w:color="auto" w:fill="FFFFFF"/>
        </w:rPr>
        <w:t xml:space="preserve">2. </w:t>
      </w:r>
      <w:r w:rsidR="00F54ED5" w:rsidRPr="00F54ED5">
        <w:rPr>
          <w:rFonts w:asciiTheme="minorHAnsi" w:hAnsiTheme="minorHAnsi" w:cstheme="minorHAnsi"/>
          <w:bCs/>
          <w:sz w:val="18"/>
          <w:szCs w:val="18"/>
          <w:bdr w:val="none" w:sz="0" w:space="0" w:color="auto" w:frame="1"/>
          <w:shd w:val="clear" w:color="auto" w:fill="FFFFFF"/>
        </w:rPr>
        <w:t>Campos V (2016)</w:t>
      </w:r>
      <w:r w:rsidR="00CA4AE3" w:rsidRPr="00F54ED5">
        <w:rPr>
          <w:rFonts w:asciiTheme="minorHAnsi" w:hAnsiTheme="minorHAnsi" w:cstheme="minorHAnsi"/>
          <w:sz w:val="18"/>
          <w:szCs w:val="18"/>
          <w:shd w:val="clear" w:color="auto" w:fill="FFFFFF"/>
        </w:rPr>
        <w:t xml:space="preserve"> Physicochemical characterization and evaluation of PGA </w:t>
      </w:r>
      <w:proofErr w:type="spellStart"/>
      <w:r w:rsidR="00CA4AE3" w:rsidRPr="00F54ED5">
        <w:rPr>
          <w:rFonts w:asciiTheme="minorHAnsi" w:hAnsiTheme="minorHAnsi" w:cstheme="minorHAnsi"/>
          <w:sz w:val="18"/>
          <w:szCs w:val="18"/>
          <w:shd w:val="clear" w:color="auto" w:fill="FFFFFF"/>
        </w:rPr>
        <w:t>bioflocculant</w:t>
      </w:r>
      <w:proofErr w:type="spellEnd"/>
      <w:r w:rsidR="00CA4AE3" w:rsidRPr="00F54ED5">
        <w:rPr>
          <w:rFonts w:asciiTheme="minorHAnsi" w:hAnsiTheme="minorHAnsi" w:cstheme="minorHAnsi"/>
          <w:sz w:val="18"/>
          <w:szCs w:val="18"/>
          <w:shd w:val="clear" w:color="auto" w:fill="FFFFFF"/>
        </w:rPr>
        <w:t xml:space="preserve"> in coagulation-flocculation and sedimentation processes. Journal of Environmental Chemical Engin</w:t>
      </w:r>
      <w:r w:rsidR="00F54ED5" w:rsidRPr="00F54ED5">
        <w:rPr>
          <w:rFonts w:asciiTheme="minorHAnsi" w:hAnsiTheme="minorHAnsi" w:cstheme="minorHAnsi"/>
          <w:sz w:val="18"/>
          <w:szCs w:val="18"/>
          <w:shd w:val="clear" w:color="auto" w:fill="FFFFFF"/>
        </w:rPr>
        <w:t>eering, v. 4, p. 3753-3760</w:t>
      </w:r>
      <w:r w:rsidR="00CA4AE3" w:rsidRPr="00F54ED5">
        <w:rPr>
          <w:rFonts w:asciiTheme="minorHAnsi" w:hAnsiTheme="minorHAnsi" w:cstheme="minorHAnsi"/>
          <w:sz w:val="18"/>
          <w:szCs w:val="18"/>
          <w:shd w:val="clear" w:color="auto" w:fill="FFFFFF"/>
        </w:rPr>
        <w:t>.</w:t>
      </w:r>
    </w:p>
    <w:p w14:paraId="392E2383" w14:textId="7C44306F" w:rsidR="00CA4AE3" w:rsidRPr="00F54ED5" w:rsidRDefault="00F315A6" w:rsidP="00F315A6">
      <w:pPr>
        <w:pStyle w:val="PargrafodaLista"/>
        <w:widowControl/>
        <w:spacing w:before="0" w:line="240" w:lineRule="auto"/>
        <w:ind w:left="0" w:firstLine="0"/>
        <w:contextualSpacing/>
        <w:rPr>
          <w:rFonts w:asciiTheme="minorHAnsi" w:eastAsia="Times New Roman" w:hAnsiTheme="minorHAnsi" w:cstheme="minorHAnsi"/>
          <w:sz w:val="18"/>
          <w:szCs w:val="18"/>
          <w:lang w:eastAsia="pt-BR"/>
        </w:rPr>
      </w:pPr>
      <w:r w:rsidRPr="00F54ED5">
        <w:rPr>
          <w:rFonts w:asciiTheme="minorHAnsi" w:hAnsiTheme="minorHAnsi" w:cstheme="minorHAnsi"/>
          <w:bCs/>
          <w:sz w:val="18"/>
          <w:szCs w:val="18"/>
        </w:rPr>
        <w:t xml:space="preserve">3. </w:t>
      </w:r>
      <w:r w:rsidR="00F54ED5" w:rsidRPr="00F54ED5">
        <w:rPr>
          <w:rFonts w:asciiTheme="minorHAnsi" w:hAnsiTheme="minorHAnsi" w:cstheme="minorHAnsi"/>
          <w:bCs/>
          <w:sz w:val="18"/>
          <w:szCs w:val="18"/>
        </w:rPr>
        <w:t>Campos</w:t>
      </w:r>
      <w:r w:rsidR="00CA4AE3" w:rsidRPr="00F54ED5">
        <w:rPr>
          <w:rFonts w:asciiTheme="minorHAnsi" w:hAnsiTheme="minorHAnsi" w:cstheme="minorHAnsi"/>
          <w:bCs/>
          <w:sz w:val="18"/>
          <w:szCs w:val="18"/>
        </w:rPr>
        <w:t xml:space="preserve"> V</w:t>
      </w:r>
      <w:r w:rsidR="00F54ED5" w:rsidRPr="00F54ED5">
        <w:rPr>
          <w:rFonts w:asciiTheme="minorHAnsi" w:hAnsiTheme="minorHAnsi" w:cstheme="minorHAnsi"/>
          <w:sz w:val="18"/>
          <w:szCs w:val="18"/>
        </w:rPr>
        <w:t xml:space="preserve"> (2015) </w:t>
      </w:r>
      <w:r w:rsidR="00CA4AE3" w:rsidRPr="00F54ED5">
        <w:rPr>
          <w:rStyle w:val="hps"/>
          <w:rFonts w:asciiTheme="minorHAnsi" w:hAnsiTheme="minorHAnsi" w:cstheme="minorHAnsi"/>
          <w:sz w:val="18"/>
          <w:szCs w:val="18"/>
        </w:rPr>
        <w:t>Synthesis of</w:t>
      </w:r>
      <w:r w:rsidR="00CA4AE3" w:rsidRPr="00F54ED5">
        <w:rPr>
          <w:rFonts w:asciiTheme="minorHAnsi" w:hAnsiTheme="minorHAnsi" w:cstheme="minorHAnsi"/>
          <w:sz w:val="18"/>
          <w:szCs w:val="18"/>
        </w:rPr>
        <w:t xml:space="preserve"> </w:t>
      </w:r>
      <w:r w:rsidR="00CA4AE3" w:rsidRPr="00F54ED5">
        <w:rPr>
          <w:rStyle w:val="hps"/>
          <w:rFonts w:asciiTheme="minorHAnsi" w:hAnsiTheme="minorHAnsi" w:cstheme="minorHAnsi"/>
          <w:sz w:val="18"/>
          <w:szCs w:val="18"/>
        </w:rPr>
        <w:t>polycationic</w:t>
      </w:r>
      <w:r w:rsidR="00CA4AE3" w:rsidRPr="00F54ED5">
        <w:rPr>
          <w:rFonts w:asciiTheme="minorHAnsi" w:hAnsiTheme="minorHAnsi" w:cstheme="minorHAnsi"/>
          <w:sz w:val="18"/>
          <w:szCs w:val="18"/>
        </w:rPr>
        <w:t xml:space="preserve"> </w:t>
      </w:r>
      <w:r w:rsidR="00CA4AE3" w:rsidRPr="00F54ED5">
        <w:rPr>
          <w:rStyle w:val="hps"/>
          <w:rFonts w:asciiTheme="minorHAnsi" w:hAnsiTheme="minorHAnsi" w:cstheme="minorHAnsi"/>
          <w:sz w:val="18"/>
          <w:szCs w:val="18"/>
        </w:rPr>
        <w:t>bentonite-</w:t>
      </w:r>
      <w:proofErr w:type="spellStart"/>
      <w:r w:rsidR="00CA4AE3" w:rsidRPr="00F54ED5">
        <w:rPr>
          <w:rStyle w:val="hps"/>
          <w:rFonts w:asciiTheme="minorHAnsi" w:hAnsiTheme="minorHAnsi" w:cstheme="minorHAnsi"/>
          <w:sz w:val="18"/>
          <w:szCs w:val="18"/>
        </w:rPr>
        <w:t>ionene</w:t>
      </w:r>
      <w:proofErr w:type="spellEnd"/>
      <w:r w:rsidR="00CA4AE3" w:rsidRPr="00F54ED5">
        <w:rPr>
          <w:rFonts w:asciiTheme="minorHAnsi" w:hAnsiTheme="minorHAnsi" w:cstheme="minorHAnsi"/>
          <w:sz w:val="18"/>
          <w:szCs w:val="18"/>
        </w:rPr>
        <w:t xml:space="preserve"> </w:t>
      </w:r>
      <w:r w:rsidR="00CA4AE3" w:rsidRPr="00F54ED5">
        <w:rPr>
          <w:rStyle w:val="hps"/>
          <w:rFonts w:asciiTheme="minorHAnsi" w:hAnsiTheme="minorHAnsi" w:cstheme="minorHAnsi"/>
          <w:sz w:val="18"/>
          <w:szCs w:val="18"/>
        </w:rPr>
        <w:t>complexes</w:t>
      </w:r>
      <w:r w:rsidR="00CA4AE3" w:rsidRPr="00F54ED5">
        <w:rPr>
          <w:rFonts w:asciiTheme="minorHAnsi" w:hAnsiTheme="minorHAnsi" w:cstheme="minorHAnsi"/>
          <w:sz w:val="18"/>
          <w:szCs w:val="18"/>
        </w:rPr>
        <w:t xml:space="preserve"> </w:t>
      </w:r>
      <w:r w:rsidR="00CA4AE3" w:rsidRPr="00F54ED5">
        <w:rPr>
          <w:rStyle w:val="hps"/>
          <w:rFonts w:asciiTheme="minorHAnsi" w:hAnsiTheme="minorHAnsi" w:cstheme="minorHAnsi"/>
          <w:sz w:val="18"/>
          <w:szCs w:val="18"/>
        </w:rPr>
        <w:t>and</w:t>
      </w:r>
      <w:r w:rsidR="00CA4AE3" w:rsidRPr="00F54ED5">
        <w:rPr>
          <w:rFonts w:asciiTheme="minorHAnsi" w:hAnsiTheme="minorHAnsi" w:cstheme="minorHAnsi"/>
          <w:sz w:val="18"/>
          <w:szCs w:val="18"/>
        </w:rPr>
        <w:t xml:space="preserve"> their </w:t>
      </w:r>
      <w:r w:rsidR="00CA4AE3" w:rsidRPr="00F54ED5">
        <w:rPr>
          <w:rStyle w:val="hps"/>
          <w:rFonts w:asciiTheme="minorHAnsi" w:hAnsiTheme="minorHAnsi" w:cstheme="minorHAnsi"/>
          <w:sz w:val="18"/>
          <w:szCs w:val="18"/>
        </w:rPr>
        <w:t>benzene adsorption</w:t>
      </w:r>
      <w:r w:rsidR="00CA4AE3" w:rsidRPr="00F54ED5">
        <w:rPr>
          <w:rFonts w:asciiTheme="minorHAnsi" w:hAnsiTheme="minorHAnsi" w:cstheme="minorHAnsi"/>
          <w:sz w:val="18"/>
          <w:szCs w:val="18"/>
        </w:rPr>
        <w:t xml:space="preserve"> </w:t>
      </w:r>
      <w:r w:rsidR="00CA4AE3" w:rsidRPr="00F54ED5">
        <w:rPr>
          <w:rStyle w:val="hps"/>
          <w:rFonts w:asciiTheme="minorHAnsi" w:hAnsiTheme="minorHAnsi" w:cstheme="minorHAnsi"/>
          <w:sz w:val="18"/>
          <w:szCs w:val="18"/>
        </w:rPr>
        <w:t>capacities</w:t>
      </w:r>
      <w:r w:rsidR="00CA4AE3" w:rsidRPr="00F54ED5">
        <w:rPr>
          <w:rFonts w:asciiTheme="minorHAnsi" w:hAnsiTheme="minorHAnsi" w:cstheme="minorHAnsi"/>
          <w:sz w:val="18"/>
          <w:szCs w:val="18"/>
        </w:rPr>
        <w:t xml:space="preserve">. </w:t>
      </w:r>
      <w:proofErr w:type="spellStart"/>
      <w:r w:rsidR="00CA4AE3" w:rsidRPr="00F54ED5">
        <w:rPr>
          <w:rFonts w:asciiTheme="minorHAnsi" w:hAnsiTheme="minorHAnsi" w:cstheme="minorHAnsi"/>
          <w:sz w:val="18"/>
          <w:szCs w:val="18"/>
        </w:rPr>
        <w:t>Revista</w:t>
      </w:r>
      <w:proofErr w:type="spellEnd"/>
      <w:r w:rsidR="00CA4AE3" w:rsidRPr="00F54ED5">
        <w:rPr>
          <w:rFonts w:asciiTheme="minorHAnsi" w:hAnsiTheme="minorHAnsi" w:cstheme="minorHAnsi"/>
          <w:sz w:val="18"/>
          <w:szCs w:val="18"/>
        </w:rPr>
        <w:t xml:space="preserve"> </w:t>
      </w:r>
      <w:proofErr w:type="spellStart"/>
      <w:r w:rsidR="00CA4AE3" w:rsidRPr="00F54ED5">
        <w:rPr>
          <w:rFonts w:asciiTheme="minorHAnsi" w:hAnsiTheme="minorHAnsi" w:cstheme="minorHAnsi"/>
          <w:sz w:val="18"/>
          <w:szCs w:val="18"/>
        </w:rPr>
        <w:t>Polímeros</w:t>
      </w:r>
      <w:proofErr w:type="spellEnd"/>
      <w:r w:rsidR="00CA4AE3" w:rsidRPr="00F54ED5">
        <w:rPr>
          <w:rFonts w:asciiTheme="minorHAnsi" w:hAnsiTheme="minorHAnsi" w:cstheme="minorHAnsi"/>
          <w:sz w:val="18"/>
          <w:szCs w:val="18"/>
        </w:rPr>
        <w:t xml:space="preserve">: </w:t>
      </w:r>
      <w:proofErr w:type="spellStart"/>
      <w:r w:rsidR="00CA4AE3" w:rsidRPr="00F54ED5">
        <w:rPr>
          <w:rFonts w:asciiTheme="minorHAnsi" w:hAnsiTheme="minorHAnsi" w:cstheme="minorHAnsi"/>
          <w:sz w:val="18"/>
          <w:szCs w:val="18"/>
        </w:rPr>
        <w:t>ciência</w:t>
      </w:r>
      <w:proofErr w:type="spellEnd"/>
      <w:r w:rsidR="00CA4AE3" w:rsidRPr="00F54ED5">
        <w:rPr>
          <w:rFonts w:asciiTheme="minorHAnsi" w:hAnsiTheme="minorHAnsi" w:cstheme="minorHAnsi"/>
          <w:sz w:val="18"/>
          <w:szCs w:val="18"/>
        </w:rPr>
        <w:t xml:space="preserve"> e </w:t>
      </w:r>
      <w:proofErr w:type="spellStart"/>
      <w:r w:rsidR="00CA4AE3" w:rsidRPr="00F54ED5">
        <w:rPr>
          <w:rFonts w:asciiTheme="minorHAnsi" w:hAnsiTheme="minorHAnsi" w:cstheme="minorHAnsi"/>
          <w:sz w:val="18"/>
          <w:szCs w:val="18"/>
        </w:rPr>
        <w:t>tecnologia</w:t>
      </w:r>
      <w:proofErr w:type="spellEnd"/>
      <w:r w:rsidR="00CA4AE3" w:rsidRPr="00F54ED5">
        <w:rPr>
          <w:rFonts w:asciiTheme="minorHAnsi" w:hAnsiTheme="minorHAnsi" w:cstheme="minorHAnsi"/>
          <w:sz w:val="18"/>
          <w:szCs w:val="18"/>
        </w:rPr>
        <w:t>. 25 (2): 146.</w:t>
      </w:r>
    </w:p>
    <w:p w14:paraId="3A153234" w14:textId="235CA4F7" w:rsidR="00CA4AE3" w:rsidRPr="00F54ED5" w:rsidRDefault="00F315A6" w:rsidP="00F315A6">
      <w:pPr>
        <w:pStyle w:val="PargrafodaLista"/>
        <w:widowControl/>
        <w:spacing w:before="0" w:after="160" w:line="240" w:lineRule="auto"/>
        <w:ind w:left="0" w:firstLine="0"/>
        <w:contextualSpacing/>
        <w:rPr>
          <w:rFonts w:asciiTheme="minorHAnsi" w:hAnsiTheme="minorHAnsi" w:cstheme="minorHAnsi"/>
          <w:sz w:val="18"/>
          <w:szCs w:val="18"/>
        </w:rPr>
      </w:pPr>
      <w:r w:rsidRPr="00F54ED5">
        <w:rPr>
          <w:rFonts w:asciiTheme="minorHAnsi" w:hAnsiTheme="minorHAnsi" w:cstheme="minorHAnsi"/>
          <w:sz w:val="18"/>
          <w:szCs w:val="18"/>
        </w:rPr>
        <w:t xml:space="preserve">4. </w:t>
      </w:r>
      <w:r w:rsidR="00F54ED5" w:rsidRPr="00F54ED5">
        <w:rPr>
          <w:rFonts w:asciiTheme="minorHAnsi" w:hAnsiTheme="minorHAnsi" w:cstheme="minorHAnsi"/>
          <w:sz w:val="18"/>
          <w:szCs w:val="18"/>
        </w:rPr>
        <w:t>Campos V (2014)</w:t>
      </w:r>
      <w:r w:rsidR="00CA4AE3" w:rsidRPr="00F54ED5">
        <w:rPr>
          <w:rFonts w:asciiTheme="minorHAnsi" w:hAnsiTheme="minorHAnsi" w:cstheme="minorHAnsi"/>
          <w:sz w:val="18"/>
          <w:szCs w:val="18"/>
        </w:rPr>
        <w:t xml:space="preserve"> </w:t>
      </w:r>
      <w:r w:rsidR="00CA4AE3" w:rsidRPr="00F54ED5">
        <w:rPr>
          <w:rStyle w:val="hps"/>
          <w:rFonts w:asciiTheme="minorHAnsi" w:hAnsiTheme="minorHAnsi" w:cstheme="minorHAnsi"/>
          <w:sz w:val="18"/>
          <w:szCs w:val="18"/>
        </w:rPr>
        <w:t>Assessment of</w:t>
      </w:r>
      <w:r w:rsidR="00CA4AE3" w:rsidRPr="00F54ED5">
        <w:rPr>
          <w:rFonts w:asciiTheme="minorHAnsi" w:hAnsiTheme="minorHAnsi" w:cstheme="minorHAnsi"/>
          <w:sz w:val="18"/>
          <w:szCs w:val="18"/>
        </w:rPr>
        <w:t xml:space="preserve"> the </w:t>
      </w:r>
      <w:r w:rsidR="00CA4AE3" w:rsidRPr="00F54ED5">
        <w:rPr>
          <w:rStyle w:val="hps"/>
          <w:rFonts w:asciiTheme="minorHAnsi" w:hAnsiTheme="minorHAnsi" w:cstheme="minorHAnsi"/>
          <w:sz w:val="18"/>
          <w:szCs w:val="18"/>
        </w:rPr>
        <w:t>removal capacity</w:t>
      </w:r>
      <w:r w:rsidR="00CA4AE3" w:rsidRPr="00F54ED5">
        <w:rPr>
          <w:rFonts w:asciiTheme="minorHAnsi" w:hAnsiTheme="minorHAnsi" w:cstheme="minorHAnsi"/>
          <w:sz w:val="18"/>
          <w:szCs w:val="18"/>
        </w:rPr>
        <w:t xml:space="preserve">, tolerance and </w:t>
      </w:r>
      <w:r w:rsidR="00CA4AE3" w:rsidRPr="00F54ED5">
        <w:rPr>
          <w:rStyle w:val="hps"/>
          <w:rFonts w:asciiTheme="minorHAnsi" w:hAnsiTheme="minorHAnsi" w:cstheme="minorHAnsi"/>
          <w:sz w:val="18"/>
          <w:szCs w:val="18"/>
        </w:rPr>
        <w:t>anatomical adaptation</w:t>
      </w:r>
      <w:r w:rsidR="00CA4AE3" w:rsidRPr="00F54ED5">
        <w:rPr>
          <w:rFonts w:asciiTheme="minorHAnsi" w:hAnsiTheme="minorHAnsi" w:cstheme="minorHAnsi"/>
          <w:sz w:val="18"/>
          <w:szCs w:val="18"/>
        </w:rPr>
        <w:t xml:space="preserve"> </w:t>
      </w:r>
      <w:r w:rsidR="00CA4AE3" w:rsidRPr="00F54ED5">
        <w:rPr>
          <w:rStyle w:val="hps"/>
          <w:rFonts w:asciiTheme="minorHAnsi" w:hAnsiTheme="minorHAnsi" w:cstheme="minorHAnsi"/>
          <w:sz w:val="18"/>
          <w:szCs w:val="18"/>
        </w:rPr>
        <w:t>of different plant species</w:t>
      </w:r>
      <w:r w:rsidR="00CA4AE3" w:rsidRPr="00F54ED5">
        <w:rPr>
          <w:rFonts w:asciiTheme="minorHAnsi" w:hAnsiTheme="minorHAnsi" w:cstheme="minorHAnsi"/>
          <w:sz w:val="18"/>
          <w:szCs w:val="18"/>
        </w:rPr>
        <w:t xml:space="preserve"> </w:t>
      </w:r>
      <w:r w:rsidR="00CA4AE3" w:rsidRPr="00F54ED5">
        <w:rPr>
          <w:rStyle w:val="hps"/>
          <w:rFonts w:asciiTheme="minorHAnsi" w:hAnsiTheme="minorHAnsi" w:cstheme="minorHAnsi"/>
          <w:sz w:val="18"/>
          <w:szCs w:val="18"/>
        </w:rPr>
        <w:t xml:space="preserve">to benzene contamination. </w:t>
      </w:r>
      <w:r w:rsidR="00CA4AE3" w:rsidRPr="00F54ED5">
        <w:rPr>
          <w:rFonts w:asciiTheme="minorHAnsi" w:hAnsiTheme="minorHAnsi" w:cstheme="minorHAnsi"/>
          <w:sz w:val="18"/>
          <w:szCs w:val="18"/>
          <w:shd w:val="clear" w:color="auto" w:fill="FFFFFF"/>
        </w:rPr>
        <w:t>Water, Ai</w:t>
      </w:r>
      <w:r w:rsidR="00F54ED5" w:rsidRPr="00F54ED5">
        <w:rPr>
          <w:rFonts w:asciiTheme="minorHAnsi" w:hAnsiTheme="minorHAnsi" w:cstheme="minorHAnsi"/>
          <w:sz w:val="18"/>
          <w:szCs w:val="18"/>
          <w:shd w:val="clear" w:color="auto" w:fill="FFFFFF"/>
        </w:rPr>
        <w:t>r, &amp; Soil Pollution. 225: 2033</w:t>
      </w:r>
      <w:r w:rsidR="00CA4AE3" w:rsidRPr="00F54ED5">
        <w:rPr>
          <w:rFonts w:asciiTheme="minorHAnsi" w:hAnsiTheme="minorHAnsi" w:cstheme="minorHAnsi"/>
          <w:sz w:val="18"/>
          <w:szCs w:val="18"/>
          <w:shd w:val="clear" w:color="auto" w:fill="FFFFFF"/>
        </w:rPr>
        <w:t xml:space="preserve">.  </w:t>
      </w:r>
    </w:p>
    <w:p w14:paraId="5A33D805" w14:textId="73B97724" w:rsidR="00CA4AE3" w:rsidRPr="00F54ED5" w:rsidRDefault="00F315A6" w:rsidP="00F315A6">
      <w:pPr>
        <w:pStyle w:val="PargrafodaLista"/>
        <w:widowControl/>
        <w:spacing w:before="0" w:line="240" w:lineRule="auto"/>
        <w:ind w:left="0" w:firstLine="0"/>
        <w:contextualSpacing/>
        <w:rPr>
          <w:rFonts w:asciiTheme="minorHAnsi" w:eastAsia="Times New Roman" w:hAnsiTheme="minorHAnsi" w:cstheme="minorHAnsi"/>
          <w:sz w:val="18"/>
          <w:szCs w:val="18"/>
          <w:lang w:eastAsia="pt-BR"/>
        </w:rPr>
      </w:pPr>
      <w:r w:rsidRPr="00F54ED5">
        <w:rPr>
          <w:rFonts w:asciiTheme="minorHAnsi" w:hAnsiTheme="minorHAnsi" w:cstheme="minorHAnsi"/>
          <w:bCs/>
          <w:sz w:val="18"/>
          <w:szCs w:val="18"/>
        </w:rPr>
        <w:t xml:space="preserve">5. </w:t>
      </w:r>
      <w:r w:rsidR="00CA4AE3" w:rsidRPr="00F54ED5">
        <w:rPr>
          <w:rFonts w:asciiTheme="minorHAnsi" w:hAnsiTheme="minorHAnsi" w:cstheme="minorHAnsi"/>
          <w:bCs/>
          <w:sz w:val="18"/>
          <w:szCs w:val="18"/>
        </w:rPr>
        <w:t>Campos, V</w:t>
      </w:r>
      <w:r w:rsidR="00F54ED5" w:rsidRPr="00F54ED5">
        <w:rPr>
          <w:rFonts w:asciiTheme="minorHAnsi" w:hAnsiTheme="minorHAnsi" w:cstheme="minorHAnsi"/>
          <w:bCs/>
          <w:sz w:val="18"/>
          <w:szCs w:val="18"/>
        </w:rPr>
        <w:t xml:space="preserve"> (2013) </w:t>
      </w:r>
      <w:r w:rsidR="00CA4AE3" w:rsidRPr="00F54ED5">
        <w:rPr>
          <w:rFonts w:asciiTheme="minorHAnsi" w:hAnsiTheme="minorHAnsi" w:cstheme="minorHAnsi"/>
          <w:sz w:val="18"/>
          <w:szCs w:val="18"/>
        </w:rPr>
        <w:t xml:space="preserve">Thermal stability of </w:t>
      </w:r>
      <w:proofErr w:type="spellStart"/>
      <w:r w:rsidR="00CA4AE3" w:rsidRPr="00F54ED5">
        <w:rPr>
          <w:rFonts w:asciiTheme="minorHAnsi" w:hAnsiTheme="minorHAnsi" w:cstheme="minorHAnsi"/>
          <w:sz w:val="18"/>
          <w:szCs w:val="18"/>
        </w:rPr>
        <w:t>ionene</w:t>
      </w:r>
      <w:proofErr w:type="spellEnd"/>
      <w:r w:rsidR="00CA4AE3" w:rsidRPr="00F54ED5">
        <w:rPr>
          <w:rFonts w:asciiTheme="minorHAnsi" w:hAnsiTheme="minorHAnsi" w:cstheme="minorHAnsi"/>
          <w:sz w:val="18"/>
          <w:szCs w:val="18"/>
        </w:rPr>
        <w:t xml:space="preserve"> polymers. Journal of Thermal Analysis and Calorimetry (Dordrecht O</w:t>
      </w:r>
      <w:r w:rsidR="00F54ED5" w:rsidRPr="00F54ED5">
        <w:rPr>
          <w:rFonts w:asciiTheme="minorHAnsi" w:hAnsiTheme="minorHAnsi" w:cstheme="minorHAnsi"/>
          <w:sz w:val="18"/>
          <w:szCs w:val="18"/>
        </w:rPr>
        <w:t>nline), 112 (3): 1221-1229</w:t>
      </w:r>
      <w:r w:rsidR="00CA4AE3" w:rsidRPr="00F54ED5">
        <w:rPr>
          <w:rFonts w:asciiTheme="minorHAnsi" w:hAnsiTheme="minorHAnsi" w:cstheme="minorHAnsi"/>
          <w:sz w:val="18"/>
          <w:szCs w:val="18"/>
        </w:rPr>
        <w:t>.</w:t>
      </w:r>
    </w:p>
    <w:p w14:paraId="1F03ACF7" w14:textId="6B0F30F5" w:rsidR="00CA4AE3" w:rsidRPr="00F54ED5" w:rsidRDefault="00CA4AE3" w:rsidP="005973B9">
      <w:pPr>
        <w:spacing w:line="204" w:lineRule="exact"/>
        <w:rPr>
          <w:rFonts w:asciiTheme="minorHAnsi" w:hAnsiTheme="minorHAnsi" w:cstheme="minorHAnsi"/>
          <w:b/>
          <w:color w:val="BF5A14"/>
          <w:sz w:val="18"/>
          <w:szCs w:val="18"/>
        </w:rPr>
      </w:pPr>
    </w:p>
    <w:p w14:paraId="40D60DCE" w14:textId="6EDC79C4" w:rsidR="00CA4AE3" w:rsidRDefault="00CA4AE3" w:rsidP="005973B9">
      <w:pPr>
        <w:spacing w:line="204" w:lineRule="exact"/>
        <w:rPr>
          <w:rFonts w:ascii="Arial"/>
          <w:b/>
          <w:color w:val="BF5A14"/>
          <w:sz w:val="20"/>
        </w:rPr>
      </w:pPr>
    </w:p>
    <w:p w14:paraId="332D70F9" w14:textId="11C2DF6C"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7153D772" w14:textId="77777777" w:rsidR="00AE3E37" w:rsidRDefault="00AE3E37">
      <w:pPr>
        <w:pStyle w:val="Corpodetexto"/>
        <w:rPr>
          <w:rFonts w:ascii="Calibri"/>
          <w:sz w:val="20"/>
        </w:rPr>
      </w:pPr>
    </w:p>
    <w:p w14:paraId="387D2C32" w14:textId="77777777" w:rsidR="00AE3E37" w:rsidRDefault="00292ED9">
      <w:pPr>
        <w:pStyle w:val="Corpodetexto"/>
        <w:spacing w:line="40" w:lineRule="exact"/>
        <w:ind w:left="2202"/>
        <w:rPr>
          <w:rFonts w:ascii="Calibri"/>
          <w:sz w:val="4"/>
        </w:rPr>
      </w:pPr>
      <w:r>
        <w:rPr>
          <w:rFonts w:ascii="Calibri"/>
          <w:noProof/>
          <w:sz w:val="4"/>
          <w:lang w:val="en-IN" w:eastAsia="en-IN"/>
        </w:rPr>
        <mc:AlternateContent>
          <mc:Choice Requires="wpg">
            <w:drawing>
              <wp:inline distT="0" distB="0" distL="0" distR="0" wp14:anchorId="3591C31B" wp14:editId="33F6A3B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ADA75B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351556B4" w14:textId="451808B3" w:rsidR="00AE3E37" w:rsidRDefault="00874CDF" w:rsidP="00404E5B">
      <w:pPr>
        <w:spacing w:before="92"/>
        <w:ind w:right="4234"/>
        <w:rPr>
          <w:rFonts w:ascii="Arial"/>
        </w:rPr>
      </w:pPr>
      <w:r>
        <w:rPr>
          <w:noProof/>
        </w:rPr>
        <w:t xml:space="preserve">    </w:t>
      </w:r>
      <w:r>
        <w:rPr>
          <w:noProof/>
        </w:rPr>
        <w:drawing>
          <wp:inline distT="0" distB="0" distL="0" distR="0" wp14:anchorId="2D0951D5" wp14:editId="38E79804">
            <wp:extent cx="571500" cy="630555"/>
            <wp:effectExtent l="0" t="0" r="0" b="0"/>
            <wp:docPr id="4" name="Imagem 4" descr="C:\Users\vcamp\AppData\Local\Microsoft\Windows\INetCache\Content.Word\Valquir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vcamp\AppData\Local\Microsoft\Windows\INetCache\Content.Word\Valquiria.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2567" cy="653799"/>
                    </a:xfrm>
                    <a:prstGeom prst="rect">
                      <a:avLst/>
                    </a:prstGeom>
                    <a:noFill/>
                    <a:ln>
                      <a:noFill/>
                    </a:ln>
                  </pic:spPr>
                </pic:pic>
              </a:graphicData>
            </a:graphic>
          </wp:inline>
        </w:drawing>
      </w:r>
      <w:r>
        <w:rPr>
          <w:noProof/>
        </w:rPr>
        <w:t xml:space="preserve"> </w:t>
      </w:r>
      <w:r w:rsidR="00A9710C">
        <w:rPr>
          <w:rFonts w:ascii="Arial"/>
          <w:color w:val="BF5A14"/>
        </w:rPr>
        <w:t>Biography</w:t>
      </w:r>
      <w:r>
        <w:rPr>
          <w:rFonts w:ascii="Arial"/>
          <w:color w:val="BF5A14"/>
        </w:rPr>
        <w:t xml:space="preserve"> </w:t>
      </w:r>
    </w:p>
    <w:p w14:paraId="0EABF762" w14:textId="75401568" w:rsidR="00AE3E37" w:rsidRPr="00874CDF" w:rsidRDefault="00874CDF">
      <w:pPr>
        <w:spacing w:before="41" w:line="154" w:lineRule="exact"/>
        <w:ind w:left="213" w:right="231"/>
        <w:jc w:val="both"/>
        <w:rPr>
          <w:rFonts w:ascii="Arial" w:hAnsi="Arial" w:cs="Arial"/>
          <w:sz w:val="14"/>
          <w:szCs w:val="14"/>
        </w:rPr>
      </w:pPr>
      <w:proofErr w:type="spellStart"/>
      <w:r w:rsidRPr="00874CDF">
        <w:rPr>
          <w:rFonts w:ascii="Arial" w:hAnsi="Arial" w:cs="Arial"/>
          <w:sz w:val="14"/>
          <w:szCs w:val="14"/>
        </w:rPr>
        <w:t>Valquiria</w:t>
      </w:r>
      <w:proofErr w:type="spellEnd"/>
      <w:r w:rsidRPr="00874CDF">
        <w:rPr>
          <w:rFonts w:ascii="Arial" w:hAnsi="Arial" w:cs="Arial"/>
          <w:sz w:val="14"/>
          <w:szCs w:val="14"/>
        </w:rPr>
        <w:t xml:space="preserve"> Campos is a B.Sc. in Geology at University of São Paulo; D.Sc. in Geology at Geoscience Institute at the São Paulo University and she held Postdoctoral in Chemical Engineering at São Paulo University. A full Professor since 2009</w:t>
      </w:r>
      <w:r w:rsidRPr="00874CDF">
        <w:rPr>
          <w:rFonts w:ascii="Arial" w:hAnsi="Arial" w:cs="Arial"/>
          <w:sz w:val="14"/>
          <w:szCs w:val="14"/>
          <w:vertAlign w:val="superscript"/>
        </w:rPr>
        <w:t xml:space="preserve"> </w:t>
      </w:r>
      <w:r w:rsidRPr="00874CDF">
        <w:rPr>
          <w:rFonts w:ascii="Arial" w:hAnsi="Arial" w:cs="Arial"/>
          <w:sz w:val="14"/>
          <w:szCs w:val="14"/>
        </w:rPr>
        <w:t xml:space="preserve">at São Paulo State University (UNESP), Institute of Science and Technology, Sorocaba, Brazil. The actual laboratory in which she is working is in the Department of Environmental Engineering of the Polytechnic School. She is focused on understanding </w:t>
      </w:r>
      <w:proofErr w:type="spellStart"/>
      <w:r w:rsidRPr="00874CDF">
        <w:rPr>
          <w:rFonts w:ascii="Arial" w:hAnsi="Arial" w:cs="Arial"/>
          <w:sz w:val="14"/>
          <w:szCs w:val="14"/>
        </w:rPr>
        <w:t>hydrogeochemistry</w:t>
      </w:r>
      <w:proofErr w:type="spellEnd"/>
      <w:r w:rsidRPr="00874CDF">
        <w:rPr>
          <w:rFonts w:ascii="Arial" w:hAnsi="Arial" w:cs="Arial"/>
          <w:sz w:val="14"/>
          <w:szCs w:val="14"/>
        </w:rPr>
        <w:t xml:space="preserve"> processes and related impacts on water supply and demand, water quality, agriculture, and impacts to other sectors of society.</w:t>
      </w:r>
    </w:p>
    <w:p w14:paraId="763E22B8" w14:textId="653CEE48" w:rsidR="00AE3E37" w:rsidRDefault="00A9710C">
      <w:pPr>
        <w:spacing w:before="62"/>
        <w:ind w:left="4217" w:right="4235"/>
        <w:jc w:val="center"/>
        <w:rPr>
          <w:rFonts w:ascii="Arial"/>
          <w:sz w:val="14"/>
        </w:rPr>
      </w:pPr>
      <w:r>
        <w:rPr>
          <w:rFonts w:ascii="Arial"/>
          <w:sz w:val="14"/>
        </w:rPr>
        <w:t xml:space="preserve">Email: </w:t>
      </w:r>
      <w:r w:rsidR="0059270E">
        <w:rPr>
          <w:rFonts w:ascii="Arial"/>
          <w:sz w:val="14"/>
        </w:rPr>
        <w:t>vcampos@sorocaba.unesp.br</w:t>
      </w:r>
    </w:p>
    <w:p w14:paraId="48C6EEEB" w14:textId="382E0779" w:rsidR="00AE3E37" w:rsidRDefault="00292ED9">
      <w:pPr>
        <w:pStyle w:val="Corpodetexto"/>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17EE4753" wp14:editId="2B32F65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7299B7"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0FBEC1C7"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241CB248" w14:textId="77777777" w:rsidR="00AE3E37" w:rsidRDefault="00AE3E37" w:rsidP="00F54ED5">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9002B1" w14:textId="77777777" w:rsidR="001E34D1" w:rsidRDefault="001E34D1">
      <w:r>
        <w:separator/>
      </w:r>
    </w:p>
  </w:endnote>
  <w:endnote w:type="continuationSeparator" w:id="0">
    <w:p w14:paraId="03C6B643" w14:textId="77777777" w:rsidR="001E34D1" w:rsidRDefault="001E34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B4D7D3" w14:textId="05F7821A" w:rsidR="00AE3E37" w:rsidRDefault="00292ED9">
    <w:pPr>
      <w:pStyle w:val="Corpodetexto"/>
      <w:spacing w:line="14" w:lineRule="auto"/>
      <w:rPr>
        <w:sz w:val="20"/>
      </w:rPr>
    </w:pPr>
    <w:r>
      <w:rPr>
        <w:noProof/>
        <w:lang w:val="en-IN" w:eastAsia="en-IN"/>
      </w:rPr>
      <mc:AlternateContent>
        <mc:Choice Requires="wps">
          <w:drawing>
            <wp:anchor distT="0" distB="0" distL="114300" distR="114300" simplePos="0" relativeHeight="503311952" behindDoc="1" locked="0" layoutInCell="1" allowOverlap="1" wp14:anchorId="2752C4C1" wp14:editId="49CFB83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13295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2263AD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52C4C1"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0813295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2263AD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00F1A2" w14:textId="77777777" w:rsidR="001E34D1" w:rsidRDefault="001E34D1">
      <w:r>
        <w:separator/>
      </w:r>
    </w:p>
  </w:footnote>
  <w:footnote w:type="continuationSeparator" w:id="0">
    <w:p w14:paraId="7654076A" w14:textId="77777777" w:rsidR="001E34D1" w:rsidRDefault="001E34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BAAB4D" w14:textId="5C60BB28" w:rsidR="00AE3E37" w:rsidRDefault="00292ED9">
    <w:pPr>
      <w:pStyle w:val="Corpodetexto"/>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6805A7A2" wp14:editId="05F8C99F">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F93E4C" w14:textId="77777777"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BD7B9EF"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05A7A2"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23F93E4C" w14:textId="77777777"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BD7B9EF"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41CA2207"/>
    <w:multiLevelType w:val="hybridMultilevel"/>
    <w:tmpl w:val="699A9F08"/>
    <w:lvl w:ilvl="0" w:tplc="7C8CA0B6">
      <w:start w:val="1"/>
      <w:numFmt w:val="decimal"/>
      <w:lvlText w:val="%1."/>
      <w:lvlJc w:val="left"/>
      <w:pPr>
        <w:ind w:left="720" w:hanging="360"/>
      </w:pPr>
      <w:rPr>
        <w:rFonts w:eastAsiaTheme="minorHAnsi" w:hint="default"/>
        <w:b/>
        <w:color w:val="000000" w:themeColor="text1"/>
        <w:lang w:val="pt-BR"/>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hyphenationZone w:val="425"/>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04331"/>
    <w:rsid w:val="001263DF"/>
    <w:rsid w:val="001B211F"/>
    <w:rsid w:val="001E34D1"/>
    <w:rsid w:val="00292ED9"/>
    <w:rsid w:val="003A0CFB"/>
    <w:rsid w:val="00404E5B"/>
    <w:rsid w:val="00414F7B"/>
    <w:rsid w:val="004355DC"/>
    <w:rsid w:val="004749B4"/>
    <w:rsid w:val="00494130"/>
    <w:rsid w:val="004F3523"/>
    <w:rsid w:val="0059270E"/>
    <w:rsid w:val="005973B9"/>
    <w:rsid w:val="005B3A56"/>
    <w:rsid w:val="006060CE"/>
    <w:rsid w:val="0063497F"/>
    <w:rsid w:val="007F391E"/>
    <w:rsid w:val="00873DF0"/>
    <w:rsid w:val="00874CDF"/>
    <w:rsid w:val="008756E6"/>
    <w:rsid w:val="009B2D44"/>
    <w:rsid w:val="009E0501"/>
    <w:rsid w:val="00A07E82"/>
    <w:rsid w:val="00A846B6"/>
    <w:rsid w:val="00A9710C"/>
    <w:rsid w:val="00AB09EE"/>
    <w:rsid w:val="00AE3E37"/>
    <w:rsid w:val="00B21A57"/>
    <w:rsid w:val="00B34E2D"/>
    <w:rsid w:val="00C03E01"/>
    <w:rsid w:val="00C33602"/>
    <w:rsid w:val="00C442F1"/>
    <w:rsid w:val="00C93298"/>
    <w:rsid w:val="00CA4AE3"/>
    <w:rsid w:val="00CD6F55"/>
    <w:rsid w:val="00D77AC2"/>
    <w:rsid w:val="00DE3104"/>
    <w:rsid w:val="00E00FDC"/>
    <w:rsid w:val="00F315A6"/>
    <w:rsid w:val="00F54ED5"/>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1F4F5FE"/>
  <w15:docId w15:val="{3B6849CF-EC19-4BDD-B654-D8FF1D32F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 w:type="character" w:styleId="nfase">
    <w:name w:val="Emphasis"/>
    <w:uiPriority w:val="20"/>
    <w:qFormat/>
    <w:rsid w:val="00104331"/>
    <w:rPr>
      <w:b/>
      <w:bCs/>
      <w:i w:val="0"/>
      <w:iCs w:val="0"/>
    </w:rPr>
  </w:style>
  <w:style w:type="character" w:customStyle="1" w:styleId="apple-converted-space">
    <w:name w:val="apple-converted-space"/>
    <w:basedOn w:val="Fontepargpadro"/>
    <w:rsid w:val="00104331"/>
  </w:style>
  <w:style w:type="paragraph" w:styleId="Legenda">
    <w:name w:val="caption"/>
    <w:basedOn w:val="Normal"/>
    <w:next w:val="Normal"/>
    <w:uiPriority w:val="35"/>
    <w:unhideWhenUsed/>
    <w:qFormat/>
    <w:rsid w:val="001B211F"/>
    <w:pPr>
      <w:widowControl/>
      <w:spacing w:after="200"/>
      <w:jc w:val="both"/>
    </w:pPr>
    <w:rPr>
      <w:rFonts w:ascii="Times New Roman" w:eastAsia="Times New Roman" w:hAnsi="Times New Roman" w:cs="Times New Roman"/>
      <w:b/>
      <w:bCs/>
      <w:color w:val="4F81BD" w:themeColor="accent1"/>
      <w:sz w:val="18"/>
      <w:szCs w:val="18"/>
      <w:lang w:val="pt-BR"/>
    </w:rPr>
  </w:style>
  <w:style w:type="paragraph" w:customStyle="1" w:styleId="Maddress">
    <w:name w:val="M_address"/>
    <w:basedOn w:val="Normal"/>
    <w:rsid w:val="00C442F1"/>
    <w:pPr>
      <w:widowControl/>
      <w:spacing w:before="240" w:line="340" w:lineRule="atLeast"/>
    </w:pPr>
    <w:rPr>
      <w:rFonts w:ascii="Times New Roman" w:eastAsia="Times New Roman" w:hAnsi="Times New Roman" w:cs="Times New Roman"/>
      <w:color w:val="000000"/>
      <w:sz w:val="24"/>
      <w:szCs w:val="20"/>
      <w:lang w:eastAsia="de-DE"/>
    </w:rPr>
  </w:style>
  <w:style w:type="character" w:styleId="MenoPendente">
    <w:name w:val="Unresolved Mention"/>
    <w:basedOn w:val="Fontepargpadro"/>
    <w:uiPriority w:val="99"/>
    <w:semiHidden/>
    <w:unhideWhenUsed/>
    <w:rsid w:val="003A0CFB"/>
    <w:rPr>
      <w:color w:val="808080"/>
      <w:shd w:val="clear" w:color="auto" w:fill="E6E6E6"/>
    </w:rPr>
  </w:style>
  <w:style w:type="character" w:styleId="TextodoEspaoReservado">
    <w:name w:val="Placeholder Text"/>
    <w:basedOn w:val="Fontepargpadro"/>
    <w:uiPriority w:val="99"/>
    <w:semiHidden/>
    <w:rsid w:val="00D77AC2"/>
    <w:rPr>
      <w:color w:val="808080"/>
    </w:rPr>
  </w:style>
  <w:style w:type="character" w:customStyle="1" w:styleId="hps">
    <w:name w:val="hps"/>
    <w:basedOn w:val="Fontepargpadro"/>
    <w:rsid w:val="00CA4A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594</Words>
  <Characters>3213</Characters>
  <Application>Microsoft Office Word</Application>
  <DocSecurity>0</DocSecurity>
  <Lines>26</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Valquíria Campos</cp:lastModifiedBy>
  <cp:revision>2</cp:revision>
  <dcterms:created xsi:type="dcterms:W3CDTF">2017-10-14T19:48:00Z</dcterms:created>
  <dcterms:modified xsi:type="dcterms:W3CDTF">2017-10-14T19:48:00Z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