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662A4">
        <w:rPr>
          <w:rFonts w:ascii="Times New Roman" w:eastAsia="Times New Roman" w:hAnsi="Times New Roman" w:cs="Times New Roman"/>
          <w:b/>
          <w:bCs/>
          <w:kern w:val="36"/>
          <w:sz w:val="48"/>
          <w:szCs w:val="48"/>
        </w:rPr>
        <w:t>Predicting Academic Self-Efficacy Based on Personal Strengths and Cognitive Bias in Iraqi Students</w:t>
      </w:r>
    </w:p>
    <w:p w:rsidR="002662A4" w:rsidRPr="002662A4" w:rsidRDefault="002662A4" w:rsidP="008014BE">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Authors:</w:t>
      </w:r>
      <w:r w:rsidRPr="002662A4">
        <w:rPr>
          <w:rFonts w:ascii="Times New Roman" w:eastAsia="Times New Roman" w:hAnsi="Times New Roman" w:cs="Times New Roman"/>
          <w:sz w:val="24"/>
          <w:szCs w:val="24"/>
        </w:rPr>
        <w:t xml:space="preserve"> Dr. Mansour Abdi (Associate Professor, Arak University, </w:t>
      </w:r>
      <w:bookmarkStart w:id="0" w:name="_GoBack"/>
      <w:bookmarkEnd w:id="0"/>
      <w:r w:rsidRPr="002662A4">
        <w:rPr>
          <w:rFonts w:ascii="Times New Roman" w:eastAsia="Times New Roman" w:hAnsi="Times New Roman" w:cs="Times New Roman"/>
          <w:sz w:val="24"/>
          <w:szCs w:val="24"/>
        </w:rPr>
        <w:t xml:space="preserve">Corresponding Author), </w:t>
      </w:r>
      <w:proofErr w:type="spellStart"/>
      <w:r w:rsidRPr="002662A4">
        <w:rPr>
          <w:rFonts w:ascii="Times New Roman" w:eastAsia="Times New Roman" w:hAnsi="Times New Roman" w:cs="Times New Roman"/>
          <w:sz w:val="24"/>
          <w:szCs w:val="24"/>
        </w:rPr>
        <w:t>Asaad</w:t>
      </w:r>
      <w:proofErr w:type="spellEnd"/>
      <w:r w:rsidRPr="002662A4">
        <w:rPr>
          <w:rFonts w:ascii="Times New Roman" w:eastAsia="Times New Roman" w:hAnsi="Times New Roman" w:cs="Times New Roman"/>
          <w:sz w:val="24"/>
          <w:szCs w:val="24"/>
        </w:rPr>
        <w:t xml:space="preserve"> Mohan (Psychology Student) </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Academic Affiliation:</w:t>
      </w:r>
      <w:r w:rsidRPr="002662A4">
        <w:rPr>
          <w:rFonts w:ascii="Times New Roman" w:eastAsia="Times New Roman" w:hAnsi="Times New Roman" w:cs="Times New Roman"/>
          <w:sz w:val="24"/>
          <w:szCs w:val="24"/>
        </w:rPr>
        <w:t xml:space="preserve"> Iran, Arak, Arak University, Faculty of Humanities, Department of Psychology </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spacing w:before="100" w:beforeAutospacing="1" w:after="100" w:afterAutospacing="1" w:line="240" w:lineRule="auto"/>
        <w:outlineLvl w:val="2"/>
        <w:rPr>
          <w:rFonts w:ascii="Times New Roman" w:eastAsia="Times New Roman" w:hAnsi="Times New Roman" w:cs="Times New Roman"/>
          <w:b/>
          <w:bCs/>
          <w:sz w:val="27"/>
          <w:szCs w:val="27"/>
        </w:rPr>
      </w:pPr>
      <w:r w:rsidRPr="002662A4">
        <w:rPr>
          <w:rFonts w:ascii="Times New Roman" w:eastAsia="Times New Roman" w:hAnsi="Times New Roman" w:cs="Times New Roman"/>
          <w:b/>
          <w:bCs/>
          <w:sz w:val="27"/>
          <w:szCs w:val="27"/>
        </w:rPr>
        <w:t>Abstract</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This study was conducted with the aim of predicting academic self-efficacy based on personal strengths and cognitive bias among Iraqi students. In terms of purpose, this research is applied, and regarding the data collection method, it is descriptive-correlational and predictive. The statistical population of the study comprised all students at the Universities of Al-</w:t>
      </w:r>
      <w:proofErr w:type="spellStart"/>
      <w:r w:rsidRPr="002662A4">
        <w:rPr>
          <w:rFonts w:ascii="Times New Roman" w:eastAsia="Times New Roman" w:hAnsi="Times New Roman" w:cs="Times New Roman"/>
          <w:sz w:val="24"/>
          <w:szCs w:val="24"/>
        </w:rPr>
        <w:t>Muthanna</w:t>
      </w:r>
      <w:proofErr w:type="spellEnd"/>
      <w:r w:rsidRPr="002662A4">
        <w:rPr>
          <w:rFonts w:ascii="Times New Roman" w:eastAsia="Times New Roman" w:hAnsi="Times New Roman" w:cs="Times New Roman"/>
          <w:sz w:val="24"/>
          <w:szCs w:val="24"/>
        </w:rPr>
        <w:t xml:space="preserve"> and Anbar during the 2026 academic year, and the sample size was estimated at 247 students based on Morgan's table, who were selected using proportional stratified sampling. The research instruments included the Academic Self-Efficacy Questionnaire, the Cognitive Bias Questionnaire, and the Character Strengths Questionnaire. To analyze the data, multiple linear regression analysis and SPSS software version 26 were utilized. The obtained results indicated that the predictor variables, including personal strengths and cognitive bias, account for 26.5% of the variance in academic self-efficacy among students. These variables significantly predict academic self-efficacy at the 0.01 significance level with beta coefficients of 0.41 and -0.21, respectively. </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Keywords:</w:t>
      </w:r>
      <w:r w:rsidRPr="002662A4">
        <w:rPr>
          <w:rFonts w:ascii="Times New Roman" w:eastAsia="Times New Roman" w:hAnsi="Times New Roman" w:cs="Times New Roman"/>
          <w:sz w:val="24"/>
          <w:szCs w:val="24"/>
        </w:rPr>
        <w:t xml:space="preserve"> Academic Self-Efficacy, Personal Strengths, Cognitive Bias, Iraqi Students. </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spacing w:before="100" w:beforeAutospacing="1" w:after="100" w:afterAutospacing="1" w:line="240" w:lineRule="auto"/>
        <w:outlineLvl w:val="2"/>
        <w:rPr>
          <w:rFonts w:ascii="Times New Roman" w:eastAsia="Times New Roman" w:hAnsi="Times New Roman" w:cs="Times New Roman"/>
          <w:b/>
          <w:bCs/>
          <w:sz w:val="27"/>
          <w:szCs w:val="27"/>
        </w:rPr>
      </w:pPr>
      <w:r w:rsidRPr="002662A4">
        <w:rPr>
          <w:rFonts w:ascii="Times New Roman" w:eastAsia="Times New Roman" w:hAnsi="Times New Roman" w:cs="Times New Roman"/>
          <w:b/>
          <w:bCs/>
          <w:sz w:val="27"/>
          <w:szCs w:val="27"/>
        </w:rPr>
        <w:t>1. Introduction and Statement of the Problem</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Higher education systems are among the key social and dynamic institutions in any country, and their primary mission—beyond transferring specialized knowledge and experience—is to create desirable changes in cognitive, attitudinal, and behavioral constructs, as well as to foster positive personal and interpersonal skills in students. Academic success does not solely depend on cognitive and intellectual abilities; rather, psychological, emotional, and personality factors play an essential and decisive role. </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One of the pivotal constructs in educational psychology is "academic self-efficacy," which refers to an individual's belief in their capability to successfully execute academic activities and assigned tasks. Students with higher academic self-efficacy exhibit greater persistence and resilience when facing academic obstacles and challenges, and they set more long-term and challenging educational goals. </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In explaining the roots and enhancement of self-efficacy, "personal strengths" or character strengths act as powerful internal resources that help individuals thrive under stressful conditions. On the other hand, alongside positive factors, "cognitive biases" as maladaptive thinking patterns and information-processing errors can distort an individual's evaluation of their capabilities, leading to diminished motivation and performance. Given the importance of these factors in student populations and particularly the necessity for comparative and regional investigations, the present study was designed and conducted to examine and predict academic self-efficacy based on personal strengths and cognitive bias among Iraqi students. </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spacing w:before="100" w:beforeAutospacing="1" w:after="100" w:afterAutospacing="1" w:line="240" w:lineRule="auto"/>
        <w:outlineLvl w:val="2"/>
        <w:rPr>
          <w:rFonts w:ascii="Times New Roman" w:eastAsia="Times New Roman" w:hAnsi="Times New Roman" w:cs="Times New Roman"/>
          <w:b/>
          <w:bCs/>
          <w:sz w:val="27"/>
          <w:szCs w:val="27"/>
        </w:rPr>
      </w:pPr>
      <w:r w:rsidRPr="002662A4">
        <w:rPr>
          <w:rFonts w:ascii="Times New Roman" w:eastAsia="Times New Roman" w:hAnsi="Times New Roman" w:cs="Times New Roman"/>
          <w:b/>
          <w:bCs/>
          <w:sz w:val="27"/>
          <w:szCs w:val="27"/>
        </w:rPr>
        <w:t>2. Methodology</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The present study is descriptive-correlational and falls under the category of predictive research, analyzing correlational relationships between predictor and criterion variables.</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Statistical Population and Sample:</w:t>
      </w:r>
      <w:r w:rsidRPr="002662A4">
        <w:rPr>
          <w:rFonts w:ascii="Times New Roman" w:eastAsia="Times New Roman" w:hAnsi="Times New Roman" w:cs="Times New Roman"/>
          <w:sz w:val="24"/>
          <w:szCs w:val="24"/>
        </w:rPr>
        <w:t xml:space="preserve"> The statistical population included all students enrolled at the Universities of Al-</w:t>
      </w:r>
      <w:proofErr w:type="spellStart"/>
      <w:r w:rsidRPr="002662A4">
        <w:rPr>
          <w:rFonts w:ascii="Times New Roman" w:eastAsia="Times New Roman" w:hAnsi="Times New Roman" w:cs="Times New Roman"/>
          <w:sz w:val="24"/>
          <w:szCs w:val="24"/>
        </w:rPr>
        <w:t>Muthanna</w:t>
      </w:r>
      <w:proofErr w:type="spellEnd"/>
      <w:r w:rsidRPr="002662A4">
        <w:rPr>
          <w:rFonts w:ascii="Times New Roman" w:eastAsia="Times New Roman" w:hAnsi="Times New Roman" w:cs="Times New Roman"/>
          <w:sz w:val="24"/>
          <w:szCs w:val="24"/>
        </w:rPr>
        <w:t xml:space="preserve"> and Anbar during the 2026 academic year. The sample size was estimated at 247 individuals using Morgan's table, who were selected and evaluated through proportional stratified sampling. </w:t>
      </w:r>
    </w:p>
    <w:p w:rsidR="002662A4" w:rsidRPr="002662A4" w:rsidRDefault="002662A4" w:rsidP="002662A4">
      <w:pPr>
        <w:spacing w:before="100" w:beforeAutospacing="1" w:after="100" w:afterAutospacing="1" w:line="240" w:lineRule="auto"/>
        <w:ind w:left="720"/>
        <w:rPr>
          <w:rFonts w:ascii="Times New Roman" w:eastAsia="Times New Roman" w:hAnsi="Times New Roman" w:cs="Times New Roman"/>
          <w:sz w:val="24"/>
          <w:szCs w:val="24"/>
        </w:rPr>
      </w:pPr>
    </w:p>
    <w:p w:rsidR="002662A4" w:rsidRPr="002662A4" w:rsidRDefault="002662A4" w:rsidP="002662A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Data Collection Instruments:</w:t>
      </w:r>
    </w:p>
    <w:p w:rsidR="002662A4" w:rsidRPr="002662A4" w:rsidRDefault="002662A4" w:rsidP="002662A4">
      <w:pPr>
        <w:spacing w:before="100" w:beforeAutospacing="1" w:after="100" w:afterAutospacing="1" w:line="240" w:lineRule="auto"/>
        <w:ind w:left="720"/>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Academic Self-Efficacy Questionnaire:</w:t>
      </w:r>
      <w:r w:rsidRPr="002662A4">
        <w:rPr>
          <w:rFonts w:ascii="Times New Roman" w:eastAsia="Times New Roman" w:hAnsi="Times New Roman" w:cs="Times New Roman"/>
          <w:sz w:val="24"/>
          <w:szCs w:val="24"/>
        </w:rPr>
        <w:t xml:space="preserve"> Used to measure students' beliefs and confidence in their individual abilities to succeed in academic affairs and university tasks. </w:t>
      </w:r>
    </w:p>
    <w:p w:rsidR="002662A4" w:rsidRPr="002662A4" w:rsidRDefault="002662A4" w:rsidP="002662A4">
      <w:pPr>
        <w:spacing w:before="100" w:beforeAutospacing="1" w:after="100" w:afterAutospacing="1" w:line="240" w:lineRule="auto"/>
        <w:ind w:left="1440"/>
        <w:rPr>
          <w:rFonts w:ascii="Times New Roman" w:eastAsia="Times New Roman" w:hAnsi="Times New Roman" w:cs="Times New Roman"/>
          <w:sz w:val="24"/>
          <w:szCs w:val="24"/>
        </w:rPr>
      </w:pPr>
    </w:p>
    <w:p w:rsidR="002662A4" w:rsidRPr="002662A4" w:rsidRDefault="002662A4" w:rsidP="002662A4">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Self-Focused Cognitive Bias Questionnaire:</w:t>
      </w:r>
      <w:r w:rsidRPr="002662A4">
        <w:rPr>
          <w:rFonts w:ascii="Times New Roman" w:eastAsia="Times New Roman" w:hAnsi="Times New Roman" w:cs="Times New Roman"/>
          <w:sz w:val="24"/>
          <w:szCs w:val="24"/>
        </w:rPr>
        <w:t xml:space="preserve"> A standard tool for assessing information-processing errors, negative thinking biases, and reality-incongruent evaluations. </w:t>
      </w:r>
    </w:p>
    <w:p w:rsidR="002662A4" w:rsidRPr="002662A4" w:rsidRDefault="002662A4" w:rsidP="002662A4">
      <w:pPr>
        <w:spacing w:before="100" w:beforeAutospacing="1" w:after="100" w:afterAutospacing="1" w:line="240" w:lineRule="auto"/>
        <w:ind w:left="1440"/>
        <w:rPr>
          <w:rFonts w:ascii="Times New Roman" w:eastAsia="Times New Roman" w:hAnsi="Times New Roman" w:cs="Times New Roman"/>
          <w:sz w:val="24"/>
          <w:szCs w:val="24"/>
        </w:rPr>
      </w:pPr>
    </w:p>
    <w:p w:rsidR="002662A4" w:rsidRPr="002662A4" w:rsidRDefault="002662A4" w:rsidP="002662A4">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Character Strengths Questionnaire (Peterson &amp; Seligman):</w:t>
      </w:r>
      <w:r w:rsidRPr="002662A4">
        <w:rPr>
          <w:rFonts w:ascii="Times New Roman" w:eastAsia="Times New Roman" w:hAnsi="Times New Roman" w:cs="Times New Roman"/>
          <w:sz w:val="24"/>
          <w:szCs w:val="24"/>
        </w:rPr>
        <w:t xml:space="preserve"> Utilized for comprehensive evaluation and measurement of personal strengths across various character dimensions and human virtues in 24 standard subscales. </w:t>
      </w:r>
    </w:p>
    <w:p w:rsidR="002662A4" w:rsidRPr="002662A4" w:rsidRDefault="002662A4" w:rsidP="002662A4">
      <w:pPr>
        <w:spacing w:before="100" w:beforeAutospacing="1" w:after="100" w:afterAutospacing="1" w:line="240" w:lineRule="auto"/>
        <w:ind w:left="1440"/>
        <w:rPr>
          <w:rFonts w:ascii="Times New Roman" w:eastAsia="Times New Roman" w:hAnsi="Times New Roman" w:cs="Times New Roman"/>
          <w:sz w:val="24"/>
          <w:szCs w:val="24"/>
        </w:rPr>
      </w:pPr>
    </w:p>
    <w:p w:rsidR="002662A4" w:rsidRPr="002662A4" w:rsidRDefault="002662A4" w:rsidP="002662A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b/>
          <w:bCs/>
          <w:sz w:val="24"/>
          <w:szCs w:val="24"/>
        </w:rPr>
        <w:t>Data Analysis Method:</w:t>
      </w:r>
      <w:r w:rsidRPr="002662A4">
        <w:rPr>
          <w:rFonts w:ascii="Times New Roman" w:eastAsia="Times New Roman" w:hAnsi="Times New Roman" w:cs="Times New Roman"/>
          <w:sz w:val="24"/>
          <w:szCs w:val="24"/>
        </w:rPr>
        <w:t xml:space="preserve"> The collected data were analyzed using SPSS software version 26 through descriptive statistics and multiple linear regression analysis. </w:t>
      </w:r>
    </w:p>
    <w:p w:rsidR="002662A4" w:rsidRPr="002662A4" w:rsidRDefault="002662A4" w:rsidP="002662A4">
      <w:pPr>
        <w:spacing w:before="100" w:beforeAutospacing="1" w:after="100" w:afterAutospacing="1" w:line="240" w:lineRule="auto"/>
        <w:ind w:left="720"/>
        <w:rPr>
          <w:rFonts w:ascii="Times New Roman" w:eastAsia="Times New Roman" w:hAnsi="Times New Roman" w:cs="Times New Roman"/>
          <w:sz w:val="24"/>
          <w:szCs w:val="24"/>
        </w:rPr>
      </w:pPr>
    </w:p>
    <w:p w:rsidR="002662A4" w:rsidRPr="002662A4" w:rsidRDefault="002662A4" w:rsidP="002662A4">
      <w:pPr>
        <w:spacing w:before="100" w:beforeAutospacing="1" w:after="100" w:afterAutospacing="1" w:line="240" w:lineRule="auto"/>
        <w:outlineLvl w:val="2"/>
        <w:rPr>
          <w:rFonts w:ascii="Times New Roman" w:eastAsia="Times New Roman" w:hAnsi="Times New Roman" w:cs="Times New Roman"/>
          <w:b/>
          <w:bCs/>
          <w:sz w:val="27"/>
          <w:szCs w:val="27"/>
        </w:rPr>
      </w:pPr>
      <w:r w:rsidRPr="002662A4">
        <w:rPr>
          <w:rFonts w:ascii="Times New Roman" w:eastAsia="Times New Roman" w:hAnsi="Times New Roman" w:cs="Times New Roman"/>
          <w:b/>
          <w:bCs/>
          <w:sz w:val="27"/>
          <w:szCs w:val="27"/>
        </w:rPr>
        <w:t>3. Findings</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Based on the results of the multiple linear regression analysis examining the prediction of academic self-efficacy based on personal strengths and cognitive bias, the multiple correlation coefficient demonstrated favorable significance.</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The results showed that the combined predictor variables (personal strengths and cognitive bias) account for a total of </w:t>
      </w:r>
      <w:r w:rsidRPr="002662A4">
        <w:rPr>
          <w:rFonts w:ascii="Times New Roman" w:eastAsia="Times New Roman" w:hAnsi="Times New Roman" w:cs="Times New Roman"/>
          <w:b/>
          <w:bCs/>
          <w:sz w:val="24"/>
          <w:szCs w:val="24"/>
        </w:rPr>
        <w:t>26.5% of the variance in academic self-efficacy</w:t>
      </w:r>
      <w:r w:rsidRPr="002662A4">
        <w:rPr>
          <w:rFonts w:ascii="Times New Roman" w:eastAsia="Times New Roman" w:hAnsi="Times New Roman" w:cs="Times New Roman"/>
          <w:sz w:val="24"/>
          <w:szCs w:val="24"/>
        </w:rPr>
        <w:t xml:space="preserve"> among students. </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An examination of standardized regression coefficients revealed that:</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The </w:t>
      </w:r>
      <w:r w:rsidRPr="002662A4">
        <w:rPr>
          <w:rFonts w:ascii="Times New Roman" w:eastAsia="Times New Roman" w:hAnsi="Times New Roman" w:cs="Times New Roman"/>
          <w:b/>
          <w:bCs/>
          <w:sz w:val="24"/>
          <w:szCs w:val="24"/>
        </w:rPr>
        <w:t>personal strengths</w:t>
      </w:r>
      <w:r w:rsidRPr="002662A4">
        <w:rPr>
          <w:rFonts w:ascii="Times New Roman" w:eastAsia="Times New Roman" w:hAnsi="Times New Roman" w:cs="Times New Roman"/>
          <w:sz w:val="24"/>
          <w:szCs w:val="24"/>
        </w:rPr>
        <w:t xml:space="preserve"> variable with a beta coefficient of </w:t>
      </w:r>
      <w:r w:rsidRPr="002662A4">
        <w:rPr>
          <w:rFonts w:ascii="Times New Roman" w:eastAsia="Times New Roman" w:hAnsi="Times New Roman" w:cs="Times New Roman"/>
          <w:b/>
          <w:bCs/>
          <w:sz w:val="24"/>
          <w:szCs w:val="24"/>
        </w:rPr>
        <w:t>0.41</w:t>
      </w:r>
      <w:r w:rsidRPr="002662A4">
        <w:rPr>
          <w:rFonts w:ascii="Times New Roman" w:eastAsia="Times New Roman" w:hAnsi="Times New Roman" w:cs="Times New Roman"/>
          <w:sz w:val="24"/>
          <w:szCs w:val="24"/>
        </w:rPr>
        <w:t xml:space="preserve"> has a positive, direct, and significant effect on academic self-efficacy. </w:t>
      </w:r>
    </w:p>
    <w:p w:rsidR="002662A4" w:rsidRPr="002662A4" w:rsidRDefault="002662A4" w:rsidP="002662A4">
      <w:pPr>
        <w:spacing w:before="100" w:beforeAutospacing="1" w:after="100" w:afterAutospacing="1" w:line="240" w:lineRule="auto"/>
        <w:ind w:left="720"/>
        <w:rPr>
          <w:rFonts w:ascii="Times New Roman" w:eastAsia="Times New Roman" w:hAnsi="Times New Roman" w:cs="Times New Roman"/>
          <w:sz w:val="24"/>
          <w:szCs w:val="24"/>
        </w:rPr>
      </w:pPr>
    </w:p>
    <w:p w:rsidR="002662A4" w:rsidRPr="002662A4" w:rsidRDefault="002662A4" w:rsidP="002662A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The </w:t>
      </w:r>
      <w:r w:rsidRPr="002662A4">
        <w:rPr>
          <w:rFonts w:ascii="Times New Roman" w:eastAsia="Times New Roman" w:hAnsi="Times New Roman" w:cs="Times New Roman"/>
          <w:b/>
          <w:bCs/>
          <w:sz w:val="24"/>
          <w:szCs w:val="24"/>
        </w:rPr>
        <w:t>cognitive bias</w:t>
      </w:r>
      <w:r w:rsidRPr="002662A4">
        <w:rPr>
          <w:rFonts w:ascii="Times New Roman" w:eastAsia="Times New Roman" w:hAnsi="Times New Roman" w:cs="Times New Roman"/>
          <w:sz w:val="24"/>
          <w:szCs w:val="24"/>
        </w:rPr>
        <w:t xml:space="preserve"> variable with a beta coefficient of </w:t>
      </w:r>
      <w:r w:rsidRPr="002662A4">
        <w:rPr>
          <w:rFonts w:ascii="Times New Roman" w:eastAsia="Times New Roman" w:hAnsi="Times New Roman" w:cs="Times New Roman"/>
          <w:b/>
          <w:bCs/>
          <w:sz w:val="24"/>
          <w:szCs w:val="24"/>
        </w:rPr>
        <w:t>-0.21</w:t>
      </w:r>
      <w:r w:rsidRPr="002662A4">
        <w:rPr>
          <w:rFonts w:ascii="Times New Roman" w:eastAsia="Times New Roman" w:hAnsi="Times New Roman" w:cs="Times New Roman"/>
          <w:sz w:val="24"/>
          <w:szCs w:val="24"/>
        </w:rPr>
        <w:t xml:space="preserve"> has an inverse, negative, and significant effect on academic self-efficacy. </w:t>
      </w:r>
    </w:p>
    <w:p w:rsidR="002662A4" w:rsidRPr="002662A4" w:rsidRDefault="002662A4" w:rsidP="002662A4">
      <w:pPr>
        <w:spacing w:before="100" w:beforeAutospacing="1" w:after="100" w:afterAutospacing="1" w:line="240" w:lineRule="auto"/>
        <w:ind w:left="720"/>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These coefficients were statistically significant at the ($p &lt; 0.01$) level, indicating that enhancing personal strengths promotes self-efficacy beliefs, whereas high cognitive biases severely undermine this positive construct. </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Pr="002662A4" w:rsidRDefault="002662A4" w:rsidP="002662A4">
      <w:pPr>
        <w:spacing w:before="100" w:beforeAutospacing="1" w:after="100" w:afterAutospacing="1" w:line="240" w:lineRule="auto"/>
        <w:outlineLvl w:val="2"/>
        <w:rPr>
          <w:rFonts w:ascii="Times New Roman" w:eastAsia="Times New Roman" w:hAnsi="Times New Roman" w:cs="Times New Roman"/>
          <w:b/>
          <w:bCs/>
          <w:sz w:val="27"/>
          <w:szCs w:val="27"/>
        </w:rPr>
      </w:pPr>
      <w:r w:rsidRPr="002662A4">
        <w:rPr>
          <w:rFonts w:ascii="Times New Roman" w:eastAsia="Times New Roman" w:hAnsi="Times New Roman" w:cs="Times New Roman"/>
          <w:b/>
          <w:bCs/>
          <w:sz w:val="27"/>
          <w:szCs w:val="27"/>
        </w:rPr>
        <w:t>4. Discussion and Conclusion</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The findings of this study demonstrated that personal strengths and cognitive biases play a crucial and decisive role in shaping, strengthening, or weakening students' academic self-efficacy </w:t>
      </w:r>
      <w:r w:rsidRPr="002662A4">
        <w:rPr>
          <w:rFonts w:ascii="Times New Roman" w:eastAsia="Times New Roman" w:hAnsi="Times New Roman" w:cs="Times New Roman"/>
          <w:sz w:val="24"/>
          <w:szCs w:val="24"/>
        </w:rPr>
        <w:lastRenderedPageBreak/>
        <w:t xml:space="preserve">beliefs. Students possessing higher character strengths (such as perseverance, hope, self-regulation, and courage), owing to richer internal resources, provide a more positive, constructive, and realistic evaluation of their competencies when facing difficult academic tasks. When encountering failures, these individuals exhibit greater cognitive flexibility and pursue the path of success with persistence. </w:t>
      </w:r>
    </w:p>
    <w:p w:rsidR="002662A4" w:rsidRPr="002662A4" w:rsidRDefault="002662A4" w:rsidP="002662A4">
      <w:pPr>
        <w:spacing w:after="0" w:line="240" w:lineRule="auto"/>
        <w:rPr>
          <w:rFonts w:ascii="Times New Roman" w:eastAsia="Times New Roman" w:hAnsi="Times New Roman" w:cs="Times New Roman"/>
          <w:sz w:val="24"/>
          <w:szCs w:val="24"/>
        </w:rPr>
      </w:pP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t xml:space="preserve">Conversely, the presence of negative cognitive biases and information-processing errors leads individuals to hold a distorted evaluation of their capabilities, which directly impairs the sense of adequacy and academic self-efficacy, sharply reducing achievement motivation and academic performance. In light of these findings, it is recommended that counseling and psychological service centers in universities design and implement specialized educational workshops focused on recognizing, modifying, and correcting cognitive biases, as well as identifying and cultivating students' personal strengths, thereby providing a suitable foundation for enhancing their mental health, achievement motivation, and academic well-being. </w:t>
      </w:r>
    </w:p>
    <w:p w:rsidR="002662A4" w:rsidRPr="002662A4" w:rsidRDefault="002662A4" w:rsidP="002662A4">
      <w:pPr>
        <w:spacing w:after="0" w:line="240" w:lineRule="auto"/>
        <w:rPr>
          <w:rFonts w:ascii="Times New Roman" w:eastAsia="Times New Roman" w:hAnsi="Times New Roman" w:cs="Times New Roman"/>
          <w:sz w:val="24"/>
          <w:szCs w:val="24"/>
        </w:rPr>
      </w:pPr>
      <w:r w:rsidRPr="002662A4">
        <w:rPr>
          <w:rFonts w:ascii="Times New Roman" w:eastAsia="Times New Roman" w:hAnsi="Times New Roman" w:cs="Times New Roman"/>
          <w:sz w:val="24"/>
          <w:szCs w:val="24"/>
        </w:rPr>
        <w:br/>
      </w:r>
    </w:p>
    <w:p w:rsidR="002662A4" w:rsidRDefault="002662A4" w:rsidP="002662A4">
      <w:r>
        <w:br/>
      </w:r>
    </w:p>
    <w:p w:rsidR="002662A4" w:rsidRDefault="002662A4" w:rsidP="002662A4">
      <w:pPr>
        <w:pStyle w:val="Heading3"/>
      </w:pPr>
      <w:r>
        <w:t>(References)</w:t>
      </w:r>
    </w:p>
    <w:p w:rsidR="002662A4" w:rsidRDefault="002662A4" w:rsidP="002662A4">
      <w:pPr>
        <w:numPr>
          <w:ilvl w:val="0"/>
          <w:numId w:val="4"/>
        </w:numPr>
        <w:spacing w:before="100" w:beforeAutospacing="1" w:after="100" w:afterAutospacing="1" w:line="240" w:lineRule="auto"/>
      </w:pPr>
      <w:r>
        <w:t xml:space="preserve">Bandura, A. (1997). </w:t>
      </w:r>
      <w:r>
        <w:rPr>
          <w:i/>
          <w:iCs/>
        </w:rPr>
        <w:t>Self-efficacy: The exercise of control</w:t>
      </w:r>
      <w:r>
        <w:t xml:space="preserve">. New York: W. H. Freeman and Company.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r>
        <w:t xml:space="preserve">Peterson, C., &amp; Seligman, M. E. P. (2004). </w:t>
      </w:r>
      <w:r>
        <w:rPr>
          <w:i/>
          <w:iCs/>
        </w:rPr>
        <w:t>Character strengths and virtues: A handbook and classification</w:t>
      </w:r>
      <w:r>
        <w:t xml:space="preserve">. New York: Oxford University Press.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proofErr w:type="spellStart"/>
      <w:r>
        <w:t>Schunk</w:t>
      </w:r>
      <w:proofErr w:type="spellEnd"/>
      <w:r>
        <w:t xml:space="preserve">, D. H., &amp; </w:t>
      </w:r>
      <w:proofErr w:type="spellStart"/>
      <w:r>
        <w:t>Pajares</w:t>
      </w:r>
      <w:proofErr w:type="spellEnd"/>
      <w:r>
        <w:t xml:space="preserve">, F. (2009). </w:t>
      </w:r>
      <w:r>
        <w:rPr>
          <w:i/>
          <w:iCs/>
        </w:rPr>
        <w:t>Self-efficacy in academic settings</w:t>
      </w:r>
      <w:r>
        <w:t xml:space="preserve">. In </w:t>
      </w:r>
      <w:r>
        <w:rPr>
          <w:i/>
          <w:iCs/>
        </w:rPr>
        <w:t>Handbook of motivation at school</w:t>
      </w:r>
      <w:r>
        <w:t xml:space="preserve"> (pp. 35-53). Routledge.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r>
        <w:t xml:space="preserve">Beck, A. T. (2011). </w:t>
      </w:r>
      <w:r>
        <w:rPr>
          <w:i/>
          <w:iCs/>
        </w:rPr>
        <w:t>Cognitive therapy and the emotional disorders</w:t>
      </w:r>
      <w:r>
        <w:t xml:space="preserve">. Penguin.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proofErr w:type="spellStart"/>
      <w:r>
        <w:t>Klassen</w:t>
      </w:r>
      <w:proofErr w:type="spellEnd"/>
      <w:r>
        <w:t xml:space="preserve">, R. M., &amp; Usher, E. L. (2010). </w:t>
      </w:r>
      <w:r>
        <w:rPr>
          <w:i/>
          <w:iCs/>
        </w:rPr>
        <w:t>Self-efficacy in educational settings: Recent research and emerging directions</w:t>
      </w:r>
      <w:r>
        <w:t xml:space="preserve">. </w:t>
      </w:r>
      <w:r>
        <w:rPr>
          <w:i/>
          <w:iCs/>
        </w:rPr>
        <w:t>Advances in Motivation and Achievement</w:t>
      </w:r>
      <w:r>
        <w:t xml:space="preserve">, 16, 1-33.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r>
        <w:lastRenderedPageBreak/>
        <w:t xml:space="preserve">Duckworth, A. L., Peterson, C., Matthews, M. D., &amp; Kelly, D. R. (2007). </w:t>
      </w:r>
      <w:r>
        <w:rPr>
          <w:i/>
          <w:iCs/>
        </w:rPr>
        <w:t>Grit: Perseverance and passion for long-term goals</w:t>
      </w:r>
      <w:r>
        <w:t xml:space="preserve">. </w:t>
      </w:r>
      <w:r>
        <w:rPr>
          <w:i/>
          <w:iCs/>
        </w:rPr>
        <w:t>Journal of Personality and Social Psychology</w:t>
      </w:r>
      <w:r>
        <w:t xml:space="preserve">, 92(6), 1087-1101.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r>
        <w:t xml:space="preserve">Clark, D. A., &amp; Beck, A. T. (2010). </w:t>
      </w:r>
      <w:r>
        <w:rPr>
          <w:i/>
          <w:iCs/>
        </w:rPr>
        <w:t>Cognitive therapy of anxiety: Science and practice</w:t>
      </w:r>
      <w:r>
        <w:t xml:space="preserve">. Guilford Press.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r>
        <w:t xml:space="preserve">Park, N., Peterson, C., &amp; Seligman, M. E. P. (2004). </w:t>
      </w:r>
      <w:r>
        <w:rPr>
          <w:i/>
          <w:iCs/>
        </w:rPr>
        <w:t>Strengths of character and well-being</w:t>
      </w:r>
      <w:r>
        <w:t xml:space="preserve">. </w:t>
      </w:r>
      <w:r>
        <w:rPr>
          <w:i/>
          <w:iCs/>
        </w:rPr>
        <w:t>Journal of Social and Clinical Psychology</w:t>
      </w:r>
      <w:r>
        <w:t xml:space="preserve">, 23(5), 603-619.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proofErr w:type="spellStart"/>
      <w:r>
        <w:t>Pajares</w:t>
      </w:r>
      <w:proofErr w:type="spellEnd"/>
      <w:r>
        <w:t xml:space="preserve">, F. (1996). </w:t>
      </w:r>
      <w:r>
        <w:rPr>
          <w:i/>
          <w:iCs/>
        </w:rPr>
        <w:t>Self-efficacy beliefs in academic settings</w:t>
      </w:r>
      <w:r>
        <w:t xml:space="preserve">. </w:t>
      </w:r>
      <w:r>
        <w:rPr>
          <w:i/>
          <w:iCs/>
        </w:rPr>
        <w:t>Review of Educational Research</w:t>
      </w:r>
      <w:r>
        <w:t xml:space="preserve">, 66(4), 543-578. </w:t>
      </w:r>
    </w:p>
    <w:p w:rsidR="002662A4" w:rsidRDefault="002662A4" w:rsidP="002662A4">
      <w:pPr>
        <w:spacing w:before="100" w:beforeAutospacing="1" w:after="100" w:afterAutospacing="1"/>
        <w:ind w:left="720"/>
      </w:pPr>
    </w:p>
    <w:p w:rsidR="002662A4" w:rsidRDefault="002662A4" w:rsidP="002662A4">
      <w:pPr>
        <w:numPr>
          <w:ilvl w:val="0"/>
          <w:numId w:val="4"/>
        </w:numPr>
        <w:spacing w:before="100" w:beforeAutospacing="1" w:after="100" w:afterAutospacing="1" w:line="240" w:lineRule="auto"/>
      </w:pPr>
      <w:r>
        <w:t xml:space="preserve">Abdi, M., &amp; Mohan, A. (2026). </w:t>
      </w:r>
      <w:r>
        <w:rPr>
          <w:i/>
          <w:iCs/>
        </w:rPr>
        <w:t>Predicting academic self-efficacy based on personal strengths and cognitive bias in Iraqi students</w:t>
      </w:r>
      <w:r>
        <w:t xml:space="preserve">. Master's thesis, Arak University. </w:t>
      </w:r>
    </w:p>
    <w:p w:rsidR="00275A37" w:rsidRDefault="00275A37"/>
    <w:sectPr w:rsidR="00275A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C4040"/>
    <w:multiLevelType w:val="multilevel"/>
    <w:tmpl w:val="4D00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B64F1"/>
    <w:multiLevelType w:val="multilevel"/>
    <w:tmpl w:val="8B2E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449B8"/>
    <w:multiLevelType w:val="multilevel"/>
    <w:tmpl w:val="A05A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3504FC"/>
    <w:multiLevelType w:val="multilevel"/>
    <w:tmpl w:val="B890E7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2A4"/>
    <w:rsid w:val="002662A4"/>
    <w:rsid w:val="00275A37"/>
    <w:rsid w:val="008014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4F96"/>
  <w15:chartTrackingRefBased/>
  <w15:docId w15:val="{97330473-F04A-40C0-AC8F-FA023A4D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662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662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2A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662A4"/>
    <w:rPr>
      <w:rFonts w:ascii="Times New Roman" w:eastAsia="Times New Roman" w:hAnsi="Times New Roman" w:cs="Times New Roman"/>
      <w:b/>
      <w:bCs/>
      <w:sz w:val="27"/>
      <w:szCs w:val="27"/>
    </w:rPr>
  </w:style>
  <w:style w:type="character" w:customStyle="1" w:styleId="math-inline">
    <w:name w:val="math-inline"/>
    <w:basedOn w:val="DefaultParagraphFont"/>
    <w:rsid w:val="00266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90033">
      <w:bodyDiv w:val="1"/>
      <w:marLeft w:val="0"/>
      <w:marRight w:val="0"/>
      <w:marTop w:val="0"/>
      <w:marBottom w:val="0"/>
      <w:divBdr>
        <w:top w:val="none" w:sz="0" w:space="0" w:color="auto"/>
        <w:left w:val="none" w:sz="0" w:space="0" w:color="auto"/>
        <w:bottom w:val="none" w:sz="0" w:space="0" w:color="auto"/>
        <w:right w:val="none" w:sz="0" w:space="0" w:color="auto"/>
      </w:divBdr>
      <w:divsChild>
        <w:div w:id="735476765">
          <w:marLeft w:val="0"/>
          <w:marRight w:val="0"/>
          <w:marTop w:val="0"/>
          <w:marBottom w:val="0"/>
          <w:divBdr>
            <w:top w:val="none" w:sz="0" w:space="0" w:color="auto"/>
            <w:left w:val="none" w:sz="0" w:space="0" w:color="auto"/>
            <w:bottom w:val="none" w:sz="0" w:space="0" w:color="auto"/>
            <w:right w:val="none" w:sz="0" w:space="0" w:color="auto"/>
          </w:divBdr>
          <w:divsChild>
            <w:div w:id="224151165">
              <w:marLeft w:val="0"/>
              <w:marRight w:val="0"/>
              <w:marTop w:val="0"/>
              <w:marBottom w:val="0"/>
              <w:divBdr>
                <w:top w:val="none" w:sz="0" w:space="0" w:color="auto"/>
                <w:left w:val="none" w:sz="0" w:space="0" w:color="auto"/>
                <w:bottom w:val="none" w:sz="0" w:space="0" w:color="auto"/>
                <w:right w:val="none" w:sz="0" w:space="0" w:color="auto"/>
              </w:divBdr>
            </w:div>
            <w:div w:id="1214541498">
              <w:marLeft w:val="0"/>
              <w:marRight w:val="0"/>
              <w:marTop w:val="0"/>
              <w:marBottom w:val="0"/>
              <w:divBdr>
                <w:top w:val="none" w:sz="0" w:space="0" w:color="auto"/>
                <w:left w:val="none" w:sz="0" w:space="0" w:color="auto"/>
                <w:bottom w:val="none" w:sz="0" w:space="0" w:color="auto"/>
                <w:right w:val="none" w:sz="0" w:space="0" w:color="auto"/>
              </w:divBdr>
            </w:div>
            <w:div w:id="63720512">
              <w:marLeft w:val="0"/>
              <w:marRight w:val="0"/>
              <w:marTop w:val="0"/>
              <w:marBottom w:val="0"/>
              <w:divBdr>
                <w:top w:val="none" w:sz="0" w:space="0" w:color="auto"/>
                <w:left w:val="none" w:sz="0" w:space="0" w:color="auto"/>
                <w:bottom w:val="none" w:sz="0" w:space="0" w:color="auto"/>
                <w:right w:val="none" w:sz="0" w:space="0" w:color="auto"/>
              </w:divBdr>
            </w:div>
            <w:div w:id="1450658173">
              <w:marLeft w:val="0"/>
              <w:marRight w:val="0"/>
              <w:marTop w:val="0"/>
              <w:marBottom w:val="0"/>
              <w:divBdr>
                <w:top w:val="none" w:sz="0" w:space="0" w:color="auto"/>
                <w:left w:val="none" w:sz="0" w:space="0" w:color="auto"/>
                <w:bottom w:val="none" w:sz="0" w:space="0" w:color="auto"/>
                <w:right w:val="none" w:sz="0" w:space="0" w:color="auto"/>
              </w:divBdr>
            </w:div>
            <w:div w:id="1330793392">
              <w:marLeft w:val="0"/>
              <w:marRight w:val="0"/>
              <w:marTop w:val="0"/>
              <w:marBottom w:val="0"/>
              <w:divBdr>
                <w:top w:val="none" w:sz="0" w:space="0" w:color="auto"/>
                <w:left w:val="none" w:sz="0" w:space="0" w:color="auto"/>
                <w:bottom w:val="none" w:sz="0" w:space="0" w:color="auto"/>
                <w:right w:val="none" w:sz="0" w:space="0" w:color="auto"/>
              </w:divBdr>
            </w:div>
            <w:div w:id="1004164994">
              <w:marLeft w:val="0"/>
              <w:marRight w:val="0"/>
              <w:marTop w:val="0"/>
              <w:marBottom w:val="0"/>
              <w:divBdr>
                <w:top w:val="none" w:sz="0" w:space="0" w:color="auto"/>
                <w:left w:val="none" w:sz="0" w:space="0" w:color="auto"/>
                <w:bottom w:val="none" w:sz="0" w:space="0" w:color="auto"/>
                <w:right w:val="none" w:sz="0" w:space="0" w:color="auto"/>
              </w:divBdr>
            </w:div>
            <w:div w:id="760184323">
              <w:marLeft w:val="0"/>
              <w:marRight w:val="0"/>
              <w:marTop w:val="0"/>
              <w:marBottom w:val="0"/>
              <w:divBdr>
                <w:top w:val="none" w:sz="0" w:space="0" w:color="auto"/>
                <w:left w:val="none" w:sz="0" w:space="0" w:color="auto"/>
                <w:bottom w:val="none" w:sz="0" w:space="0" w:color="auto"/>
                <w:right w:val="none" w:sz="0" w:space="0" w:color="auto"/>
              </w:divBdr>
            </w:div>
            <w:div w:id="1921787543">
              <w:marLeft w:val="0"/>
              <w:marRight w:val="0"/>
              <w:marTop w:val="0"/>
              <w:marBottom w:val="0"/>
              <w:divBdr>
                <w:top w:val="none" w:sz="0" w:space="0" w:color="auto"/>
                <w:left w:val="none" w:sz="0" w:space="0" w:color="auto"/>
                <w:bottom w:val="none" w:sz="0" w:space="0" w:color="auto"/>
                <w:right w:val="none" w:sz="0" w:space="0" w:color="auto"/>
              </w:divBdr>
            </w:div>
            <w:div w:id="1895774329">
              <w:marLeft w:val="0"/>
              <w:marRight w:val="0"/>
              <w:marTop w:val="0"/>
              <w:marBottom w:val="0"/>
              <w:divBdr>
                <w:top w:val="none" w:sz="0" w:space="0" w:color="auto"/>
                <w:left w:val="none" w:sz="0" w:space="0" w:color="auto"/>
                <w:bottom w:val="none" w:sz="0" w:space="0" w:color="auto"/>
                <w:right w:val="none" w:sz="0" w:space="0" w:color="auto"/>
              </w:divBdr>
            </w:div>
            <w:div w:id="236745994">
              <w:marLeft w:val="0"/>
              <w:marRight w:val="0"/>
              <w:marTop w:val="0"/>
              <w:marBottom w:val="0"/>
              <w:divBdr>
                <w:top w:val="none" w:sz="0" w:space="0" w:color="auto"/>
                <w:left w:val="none" w:sz="0" w:space="0" w:color="auto"/>
                <w:bottom w:val="none" w:sz="0" w:space="0" w:color="auto"/>
                <w:right w:val="none" w:sz="0" w:space="0" w:color="auto"/>
              </w:divBdr>
            </w:div>
            <w:div w:id="73408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7210">
      <w:bodyDiv w:val="1"/>
      <w:marLeft w:val="0"/>
      <w:marRight w:val="0"/>
      <w:marTop w:val="0"/>
      <w:marBottom w:val="0"/>
      <w:divBdr>
        <w:top w:val="none" w:sz="0" w:space="0" w:color="auto"/>
        <w:left w:val="none" w:sz="0" w:space="0" w:color="auto"/>
        <w:bottom w:val="none" w:sz="0" w:space="0" w:color="auto"/>
        <w:right w:val="none" w:sz="0" w:space="0" w:color="auto"/>
      </w:divBdr>
      <w:divsChild>
        <w:div w:id="707873748">
          <w:marLeft w:val="0"/>
          <w:marRight w:val="0"/>
          <w:marTop w:val="0"/>
          <w:marBottom w:val="0"/>
          <w:divBdr>
            <w:top w:val="none" w:sz="0" w:space="0" w:color="auto"/>
            <w:left w:val="none" w:sz="0" w:space="0" w:color="auto"/>
            <w:bottom w:val="none" w:sz="0" w:space="0" w:color="auto"/>
            <w:right w:val="none" w:sz="0" w:space="0" w:color="auto"/>
          </w:divBdr>
          <w:divsChild>
            <w:div w:id="1080370583">
              <w:marLeft w:val="0"/>
              <w:marRight w:val="0"/>
              <w:marTop w:val="0"/>
              <w:marBottom w:val="0"/>
              <w:divBdr>
                <w:top w:val="none" w:sz="0" w:space="0" w:color="auto"/>
                <w:left w:val="none" w:sz="0" w:space="0" w:color="auto"/>
                <w:bottom w:val="none" w:sz="0" w:space="0" w:color="auto"/>
                <w:right w:val="none" w:sz="0" w:space="0" w:color="auto"/>
              </w:divBdr>
            </w:div>
            <w:div w:id="607660899">
              <w:marLeft w:val="0"/>
              <w:marRight w:val="0"/>
              <w:marTop w:val="0"/>
              <w:marBottom w:val="0"/>
              <w:divBdr>
                <w:top w:val="none" w:sz="0" w:space="0" w:color="auto"/>
                <w:left w:val="none" w:sz="0" w:space="0" w:color="auto"/>
                <w:bottom w:val="none" w:sz="0" w:space="0" w:color="auto"/>
                <w:right w:val="none" w:sz="0" w:space="0" w:color="auto"/>
              </w:divBdr>
            </w:div>
            <w:div w:id="443766143">
              <w:marLeft w:val="0"/>
              <w:marRight w:val="0"/>
              <w:marTop w:val="0"/>
              <w:marBottom w:val="0"/>
              <w:divBdr>
                <w:top w:val="none" w:sz="0" w:space="0" w:color="auto"/>
                <w:left w:val="none" w:sz="0" w:space="0" w:color="auto"/>
                <w:bottom w:val="none" w:sz="0" w:space="0" w:color="auto"/>
                <w:right w:val="none" w:sz="0" w:space="0" w:color="auto"/>
              </w:divBdr>
            </w:div>
            <w:div w:id="2078939072">
              <w:marLeft w:val="0"/>
              <w:marRight w:val="0"/>
              <w:marTop w:val="0"/>
              <w:marBottom w:val="0"/>
              <w:divBdr>
                <w:top w:val="none" w:sz="0" w:space="0" w:color="auto"/>
                <w:left w:val="none" w:sz="0" w:space="0" w:color="auto"/>
                <w:bottom w:val="none" w:sz="0" w:space="0" w:color="auto"/>
                <w:right w:val="none" w:sz="0" w:space="0" w:color="auto"/>
              </w:divBdr>
            </w:div>
            <w:div w:id="1109666704">
              <w:marLeft w:val="0"/>
              <w:marRight w:val="0"/>
              <w:marTop w:val="0"/>
              <w:marBottom w:val="0"/>
              <w:divBdr>
                <w:top w:val="none" w:sz="0" w:space="0" w:color="auto"/>
                <w:left w:val="none" w:sz="0" w:space="0" w:color="auto"/>
                <w:bottom w:val="none" w:sz="0" w:space="0" w:color="auto"/>
                <w:right w:val="none" w:sz="0" w:space="0" w:color="auto"/>
              </w:divBdr>
            </w:div>
            <w:div w:id="895360511">
              <w:marLeft w:val="0"/>
              <w:marRight w:val="0"/>
              <w:marTop w:val="0"/>
              <w:marBottom w:val="0"/>
              <w:divBdr>
                <w:top w:val="none" w:sz="0" w:space="0" w:color="auto"/>
                <w:left w:val="none" w:sz="0" w:space="0" w:color="auto"/>
                <w:bottom w:val="none" w:sz="0" w:space="0" w:color="auto"/>
                <w:right w:val="none" w:sz="0" w:space="0" w:color="auto"/>
              </w:divBdr>
            </w:div>
            <w:div w:id="1062287582">
              <w:marLeft w:val="0"/>
              <w:marRight w:val="0"/>
              <w:marTop w:val="0"/>
              <w:marBottom w:val="0"/>
              <w:divBdr>
                <w:top w:val="none" w:sz="0" w:space="0" w:color="auto"/>
                <w:left w:val="none" w:sz="0" w:space="0" w:color="auto"/>
                <w:bottom w:val="none" w:sz="0" w:space="0" w:color="auto"/>
                <w:right w:val="none" w:sz="0" w:space="0" w:color="auto"/>
              </w:divBdr>
            </w:div>
            <w:div w:id="1165899853">
              <w:marLeft w:val="0"/>
              <w:marRight w:val="0"/>
              <w:marTop w:val="0"/>
              <w:marBottom w:val="0"/>
              <w:divBdr>
                <w:top w:val="none" w:sz="0" w:space="0" w:color="auto"/>
                <w:left w:val="none" w:sz="0" w:space="0" w:color="auto"/>
                <w:bottom w:val="none" w:sz="0" w:space="0" w:color="auto"/>
                <w:right w:val="none" w:sz="0" w:space="0" w:color="auto"/>
              </w:divBdr>
            </w:div>
            <w:div w:id="1912352554">
              <w:marLeft w:val="0"/>
              <w:marRight w:val="0"/>
              <w:marTop w:val="0"/>
              <w:marBottom w:val="0"/>
              <w:divBdr>
                <w:top w:val="none" w:sz="0" w:space="0" w:color="auto"/>
                <w:left w:val="none" w:sz="0" w:space="0" w:color="auto"/>
                <w:bottom w:val="none" w:sz="0" w:space="0" w:color="auto"/>
                <w:right w:val="none" w:sz="0" w:space="0" w:color="auto"/>
              </w:divBdr>
            </w:div>
            <w:div w:id="1728257108">
              <w:marLeft w:val="0"/>
              <w:marRight w:val="0"/>
              <w:marTop w:val="0"/>
              <w:marBottom w:val="0"/>
              <w:divBdr>
                <w:top w:val="none" w:sz="0" w:space="0" w:color="auto"/>
                <w:left w:val="none" w:sz="0" w:space="0" w:color="auto"/>
                <w:bottom w:val="none" w:sz="0" w:space="0" w:color="auto"/>
                <w:right w:val="none" w:sz="0" w:space="0" w:color="auto"/>
              </w:divBdr>
            </w:div>
            <w:div w:id="1576085054">
              <w:marLeft w:val="0"/>
              <w:marRight w:val="0"/>
              <w:marTop w:val="0"/>
              <w:marBottom w:val="0"/>
              <w:divBdr>
                <w:top w:val="none" w:sz="0" w:space="0" w:color="auto"/>
                <w:left w:val="none" w:sz="0" w:space="0" w:color="auto"/>
                <w:bottom w:val="none" w:sz="0" w:space="0" w:color="auto"/>
                <w:right w:val="none" w:sz="0" w:space="0" w:color="auto"/>
              </w:divBdr>
            </w:div>
            <w:div w:id="555624818">
              <w:marLeft w:val="0"/>
              <w:marRight w:val="0"/>
              <w:marTop w:val="0"/>
              <w:marBottom w:val="0"/>
              <w:divBdr>
                <w:top w:val="none" w:sz="0" w:space="0" w:color="auto"/>
                <w:left w:val="none" w:sz="0" w:space="0" w:color="auto"/>
                <w:bottom w:val="none" w:sz="0" w:space="0" w:color="auto"/>
                <w:right w:val="none" w:sz="0" w:space="0" w:color="auto"/>
              </w:divBdr>
            </w:div>
            <w:div w:id="430006857">
              <w:marLeft w:val="0"/>
              <w:marRight w:val="0"/>
              <w:marTop w:val="0"/>
              <w:marBottom w:val="0"/>
              <w:divBdr>
                <w:top w:val="none" w:sz="0" w:space="0" w:color="auto"/>
                <w:left w:val="none" w:sz="0" w:space="0" w:color="auto"/>
                <w:bottom w:val="none" w:sz="0" w:space="0" w:color="auto"/>
                <w:right w:val="none" w:sz="0" w:space="0" w:color="auto"/>
              </w:divBdr>
            </w:div>
            <w:div w:id="1050804571">
              <w:marLeft w:val="0"/>
              <w:marRight w:val="0"/>
              <w:marTop w:val="0"/>
              <w:marBottom w:val="0"/>
              <w:divBdr>
                <w:top w:val="none" w:sz="0" w:space="0" w:color="auto"/>
                <w:left w:val="none" w:sz="0" w:space="0" w:color="auto"/>
                <w:bottom w:val="none" w:sz="0" w:space="0" w:color="auto"/>
                <w:right w:val="none" w:sz="0" w:space="0" w:color="auto"/>
              </w:divBdr>
            </w:div>
            <w:div w:id="443043903">
              <w:marLeft w:val="0"/>
              <w:marRight w:val="0"/>
              <w:marTop w:val="0"/>
              <w:marBottom w:val="0"/>
              <w:divBdr>
                <w:top w:val="none" w:sz="0" w:space="0" w:color="auto"/>
                <w:left w:val="none" w:sz="0" w:space="0" w:color="auto"/>
                <w:bottom w:val="none" w:sz="0" w:space="0" w:color="auto"/>
                <w:right w:val="none" w:sz="0" w:space="0" w:color="auto"/>
              </w:divBdr>
            </w:div>
            <w:div w:id="789670450">
              <w:marLeft w:val="0"/>
              <w:marRight w:val="0"/>
              <w:marTop w:val="0"/>
              <w:marBottom w:val="0"/>
              <w:divBdr>
                <w:top w:val="none" w:sz="0" w:space="0" w:color="auto"/>
                <w:left w:val="none" w:sz="0" w:space="0" w:color="auto"/>
                <w:bottom w:val="none" w:sz="0" w:space="0" w:color="auto"/>
                <w:right w:val="none" w:sz="0" w:space="0" w:color="auto"/>
              </w:divBdr>
            </w:div>
            <w:div w:id="822308775">
              <w:marLeft w:val="0"/>
              <w:marRight w:val="0"/>
              <w:marTop w:val="0"/>
              <w:marBottom w:val="0"/>
              <w:divBdr>
                <w:top w:val="none" w:sz="0" w:space="0" w:color="auto"/>
                <w:left w:val="none" w:sz="0" w:space="0" w:color="auto"/>
                <w:bottom w:val="none" w:sz="0" w:space="0" w:color="auto"/>
                <w:right w:val="none" w:sz="0" w:space="0" w:color="auto"/>
              </w:divBdr>
            </w:div>
            <w:div w:id="1884904005">
              <w:marLeft w:val="0"/>
              <w:marRight w:val="0"/>
              <w:marTop w:val="0"/>
              <w:marBottom w:val="0"/>
              <w:divBdr>
                <w:top w:val="none" w:sz="0" w:space="0" w:color="auto"/>
                <w:left w:val="none" w:sz="0" w:space="0" w:color="auto"/>
                <w:bottom w:val="none" w:sz="0" w:space="0" w:color="auto"/>
                <w:right w:val="none" w:sz="0" w:space="0" w:color="auto"/>
              </w:divBdr>
            </w:div>
            <w:div w:id="2132747934">
              <w:marLeft w:val="0"/>
              <w:marRight w:val="0"/>
              <w:marTop w:val="0"/>
              <w:marBottom w:val="0"/>
              <w:divBdr>
                <w:top w:val="none" w:sz="0" w:space="0" w:color="auto"/>
                <w:left w:val="none" w:sz="0" w:space="0" w:color="auto"/>
                <w:bottom w:val="none" w:sz="0" w:space="0" w:color="auto"/>
                <w:right w:val="none" w:sz="0" w:space="0" w:color="auto"/>
              </w:divBdr>
            </w:div>
            <w:div w:id="137306259">
              <w:marLeft w:val="0"/>
              <w:marRight w:val="0"/>
              <w:marTop w:val="0"/>
              <w:marBottom w:val="0"/>
              <w:divBdr>
                <w:top w:val="none" w:sz="0" w:space="0" w:color="auto"/>
                <w:left w:val="none" w:sz="0" w:space="0" w:color="auto"/>
                <w:bottom w:val="none" w:sz="0" w:space="0" w:color="auto"/>
                <w:right w:val="none" w:sz="0" w:space="0" w:color="auto"/>
              </w:divBdr>
            </w:div>
            <w:div w:id="1190607165">
              <w:marLeft w:val="0"/>
              <w:marRight w:val="0"/>
              <w:marTop w:val="0"/>
              <w:marBottom w:val="0"/>
              <w:divBdr>
                <w:top w:val="none" w:sz="0" w:space="0" w:color="auto"/>
                <w:left w:val="none" w:sz="0" w:space="0" w:color="auto"/>
                <w:bottom w:val="none" w:sz="0" w:space="0" w:color="auto"/>
                <w:right w:val="none" w:sz="0" w:space="0" w:color="auto"/>
              </w:divBdr>
            </w:div>
            <w:div w:id="1845439606">
              <w:marLeft w:val="0"/>
              <w:marRight w:val="0"/>
              <w:marTop w:val="0"/>
              <w:marBottom w:val="0"/>
              <w:divBdr>
                <w:top w:val="none" w:sz="0" w:space="0" w:color="auto"/>
                <w:left w:val="none" w:sz="0" w:space="0" w:color="auto"/>
                <w:bottom w:val="none" w:sz="0" w:space="0" w:color="auto"/>
                <w:right w:val="none" w:sz="0" w:space="0" w:color="auto"/>
              </w:divBdr>
            </w:div>
            <w:div w:id="1309553388">
              <w:marLeft w:val="0"/>
              <w:marRight w:val="0"/>
              <w:marTop w:val="0"/>
              <w:marBottom w:val="0"/>
              <w:divBdr>
                <w:top w:val="none" w:sz="0" w:space="0" w:color="auto"/>
                <w:left w:val="none" w:sz="0" w:space="0" w:color="auto"/>
                <w:bottom w:val="none" w:sz="0" w:space="0" w:color="auto"/>
                <w:right w:val="none" w:sz="0" w:space="0" w:color="auto"/>
              </w:divBdr>
            </w:div>
            <w:div w:id="170799251">
              <w:marLeft w:val="0"/>
              <w:marRight w:val="0"/>
              <w:marTop w:val="0"/>
              <w:marBottom w:val="0"/>
              <w:divBdr>
                <w:top w:val="none" w:sz="0" w:space="0" w:color="auto"/>
                <w:left w:val="none" w:sz="0" w:space="0" w:color="auto"/>
                <w:bottom w:val="none" w:sz="0" w:space="0" w:color="auto"/>
                <w:right w:val="none" w:sz="0" w:space="0" w:color="auto"/>
              </w:divBdr>
            </w:div>
            <w:div w:id="83377603">
              <w:marLeft w:val="0"/>
              <w:marRight w:val="0"/>
              <w:marTop w:val="0"/>
              <w:marBottom w:val="0"/>
              <w:divBdr>
                <w:top w:val="none" w:sz="0" w:space="0" w:color="auto"/>
                <w:left w:val="none" w:sz="0" w:space="0" w:color="auto"/>
                <w:bottom w:val="none" w:sz="0" w:space="0" w:color="auto"/>
                <w:right w:val="none" w:sz="0" w:space="0" w:color="auto"/>
              </w:divBdr>
            </w:div>
            <w:div w:id="1799907038">
              <w:marLeft w:val="0"/>
              <w:marRight w:val="0"/>
              <w:marTop w:val="0"/>
              <w:marBottom w:val="0"/>
              <w:divBdr>
                <w:top w:val="none" w:sz="0" w:space="0" w:color="auto"/>
                <w:left w:val="none" w:sz="0" w:space="0" w:color="auto"/>
                <w:bottom w:val="none" w:sz="0" w:space="0" w:color="auto"/>
                <w:right w:val="none" w:sz="0" w:space="0" w:color="auto"/>
              </w:divBdr>
            </w:div>
            <w:div w:id="7289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4341">
      <w:bodyDiv w:val="1"/>
      <w:marLeft w:val="0"/>
      <w:marRight w:val="0"/>
      <w:marTop w:val="0"/>
      <w:marBottom w:val="0"/>
      <w:divBdr>
        <w:top w:val="none" w:sz="0" w:space="0" w:color="auto"/>
        <w:left w:val="none" w:sz="0" w:space="0" w:color="auto"/>
        <w:bottom w:val="none" w:sz="0" w:space="0" w:color="auto"/>
        <w:right w:val="none" w:sz="0" w:space="0" w:color="auto"/>
      </w:divBdr>
      <w:divsChild>
        <w:div w:id="1939412138">
          <w:marLeft w:val="0"/>
          <w:marRight w:val="0"/>
          <w:marTop w:val="0"/>
          <w:marBottom w:val="0"/>
          <w:divBdr>
            <w:top w:val="none" w:sz="0" w:space="0" w:color="auto"/>
            <w:left w:val="none" w:sz="0" w:space="0" w:color="auto"/>
            <w:bottom w:val="none" w:sz="0" w:space="0" w:color="auto"/>
            <w:right w:val="none" w:sz="0" w:space="0" w:color="auto"/>
          </w:divBdr>
          <w:divsChild>
            <w:div w:id="1633289370">
              <w:marLeft w:val="0"/>
              <w:marRight w:val="0"/>
              <w:marTop w:val="0"/>
              <w:marBottom w:val="0"/>
              <w:divBdr>
                <w:top w:val="none" w:sz="0" w:space="0" w:color="auto"/>
                <w:left w:val="none" w:sz="0" w:space="0" w:color="auto"/>
                <w:bottom w:val="none" w:sz="0" w:space="0" w:color="auto"/>
                <w:right w:val="none" w:sz="0" w:space="0" w:color="auto"/>
              </w:divBdr>
            </w:div>
            <w:div w:id="522282945">
              <w:marLeft w:val="0"/>
              <w:marRight w:val="0"/>
              <w:marTop w:val="0"/>
              <w:marBottom w:val="0"/>
              <w:divBdr>
                <w:top w:val="none" w:sz="0" w:space="0" w:color="auto"/>
                <w:left w:val="none" w:sz="0" w:space="0" w:color="auto"/>
                <w:bottom w:val="none" w:sz="0" w:space="0" w:color="auto"/>
                <w:right w:val="none" w:sz="0" w:space="0" w:color="auto"/>
              </w:divBdr>
            </w:div>
            <w:div w:id="1855025755">
              <w:marLeft w:val="0"/>
              <w:marRight w:val="0"/>
              <w:marTop w:val="0"/>
              <w:marBottom w:val="0"/>
              <w:divBdr>
                <w:top w:val="none" w:sz="0" w:space="0" w:color="auto"/>
                <w:left w:val="none" w:sz="0" w:space="0" w:color="auto"/>
                <w:bottom w:val="none" w:sz="0" w:space="0" w:color="auto"/>
                <w:right w:val="none" w:sz="0" w:space="0" w:color="auto"/>
              </w:divBdr>
            </w:div>
            <w:div w:id="1246649263">
              <w:marLeft w:val="0"/>
              <w:marRight w:val="0"/>
              <w:marTop w:val="0"/>
              <w:marBottom w:val="0"/>
              <w:divBdr>
                <w:top w:val="none" w:sz="0" w:space="0" w:color="auto"/>
                <w:left w:val="none" w:sz="0" w:space="0" w:color="auto"/>
                <w:bottom w:val="none" w:sz="0" w:space="0" w:color="auto"/>
                <w:right w:val="none" w:sz="0" w:space="0" w:color="auto"/>
              </w:divBdr>
            </w:div>
            <w:div w:id="1778985282">
              <w:marLeft w:val="0"/>
              <w:marRight w:val="0"/>
              <w:marTop w:val="0"/>
              <w:marBottom w:val="0"/>
              <w:divBdr>
                <w:top w:val="none" w:sz="0" w:space="0" w:color="auto"/>
                <w:left w:val="none" w:sz="0" w:space="0" w:color="auto"/>
                <w:bottom w:val="none" w:sz="0" w:space="0" w:color="auto"/>
                <w:right w:val="none" w:sz="0" w:space="0" w:color="auto"/>
              </w:divBdr>
            </w:div>
            <w:div w:id="1734624470">
              <w:marLeft w:val="0"/>
              <w:marRight w:val="0"/>
              <w:marTop w:val="0"/>
              <w:marBottom w:val="0"/>
              <w:divBdr>
                <w:top w:val="none" w:sz="0" w:space="0" w:color="auto"/>
                <w:left w:val="none" w:sz="0" w:space="0" w:color="auto"/>
                <w:bottom w:val="none" w:sz="0" w:space="0" w:color="auto"/>
                <w:right w:val="none" w:sz="0" w:space="0" w:color="auto"/>
              </w:divBdr>
            </w:div>
            <w:div w:id="1891532551">
              <w:marLeft w:val="0"/>
              <w:marRight w:val="0"/>
              <w:marTop w:val="0"/>
              <w:marBottom w:val="0"/>
              <w:divBdr>
                <w:top w:val="none" w:sz="0" w:space="0" w:color="auto"/>
                <w:left w:val="none" w:sz="0" w:space="0" w:color="auto"/>
                <w:bottom w:val="none" w:sz="0" w:space="0" w:color="auto"/>
                <w:right w:val="none" w:sz="0" w:space="0" w:color="auto"/>
              </w:divBdr>
            </w:div>
            <w:div w:id="1474519693">
              <w:marLeft w:val="0"/>
              <w:marRight w:val="0"/>
              <w:marTop w:val="0"/>
              <w:marBottom w:val="0"/>
              <w:divBdr>
                <w:top w:val="none" w:sz="0" w:space="0" w:color="auto"/>
                <w:left w:val="none" w:sz="0" w:space="0" w:color="auto"/>
                <w:bottom w:val="none" w:sz="0" w:space="0" w:color="auto"/>
                <w:right w:val="none" w:sz="0" w:space="0" w:color="auto"/>
              </w:divBdr>
            </w:div>
            <w:div w:id="1769042730">
              <w:marLeft w:val="0"/>
              <w:marRight w:val="0"/>
              <w:marTop w:val="0"/>
              <w:marBottom w:val="0"/>
              <w:divBdr>
                <w:top w:val="none" w:sz="0" w:space="0" w:color="auto"/>
                <w:left w:val="none" w:sz="0" w:space="0" w:color="auto"/>
                <w:bottom w:val="none" w:sz="0" w:space="0" w:color="auto"/>
                <w:right w:val="none" w:sz="0" w:space="0" w:color="auto"/>
              </w:divBdr>
            </w:div>
            <w:div w:id="181554459">
              <w:marLeft w:val="0"/>
              <w:marRight w:val="0"/>
              <w:marTop w:val="0"/>
              <w:marBottom w:val="0"/>
              <w:divBdr>
                <w:top w:val="none" w:sz="0" w:space="0" w:color="auto"/>
                <w:left w:val="none" w:sz="0" w:space="0" w:color="auto"/>
                <w:bottom w:val="none" w:sz="0" w:space="0" w:color="auto"/>
                <w:right w:val="none" w:sz="0" w:space="0" w:color="auto"/>
              </w:divBdr>
            </w:div>
            <w:div w:id="381174197">
              <w:marLeft w:val="0"/>
              <w:marRight w:val="0"/>
              <w:marTop w:val="0"/>
              <w:marBottom w:val="0"/>
              <w:divBdr>
                <w:top w:val="none" w:sz="0" w:space="0" w:color="auto"/>
                <w:left w:val="none" w:sz="0" w:space="0" w:color="auto"/>
                <w:bottom w:val="none" w:sz="0" w:space="0" w:color="auto"/>
                <w:right w:val="none" w:sz="0" w:space="0" w:color="auto"/>
              </w:divBdr>
            </w:div>
            <w:div w:id="1206403616">
              <w:marLeft w:val="0"/>
              <w:marRight w:val="0"/>
              <w:marTop w:val="0"/>
              <w:marBottom w:val="0"/>
              <w:divBdr>
                <w:top w:val="none" w:sz="0" w:space="0" w:color="auto"/>
                <w:left w:val="none" w:sz="0" w:space="0" w:color="auto"/>
                <w:bottom w:val="none" w:sz="0" w:space="0" w:color="auto"/>
                <w:right w:val="none" w:sz="0" w:space="0" w:color="auto"/>
              </w:divBdr>
            </w:div>
            <w:div w:id="1762409060">
              <w:marLeft w:val="0"/>
              <w:marRight w:val="0"/>
              <w:marTop w:val="0"/>
              <w:marBottom w:val="0"/>
              <w:divBdr>
                <w:top w:val="none" w:sz="0" w:space="0" w:color="auto"/>
                <w:left w:val="none" w:sz="0" w:space="0" w:color="auto"/>
                <w:bottom w:val="none" w:sz="0" w:space="0" w:color="auto"/>
                <w:right w:val="none" w:sz="0" w:space="0" w:color="auto"/>
              </w:divBdr>
            </w:div>
            <w:div w:id="926619063">
              <w:marLeft w:val="0"/>
              <w:marRight w:val="0"/>
              <w:marTop w:val="0"/>
              <w:marBottom w:val="0"/>
              <w:divBdr>
                <w:top w:val="none" w:sz="0" w:space="0" w:color="auto"/>
                <w:left w:val="none" w:sz="0" w:space="0" w:color="auto"/>
                <w:bottom w:val="none" w:sz="0" w:space="0" w:color="auto"/>
                <w:right w:val="none" w:sz="0" w:space="0" w:color="auto"/>
              </w:divBdr>
            </w:div>
            <w:div w:id="550306869">
              <w:marLeft w:val="0"/>
              <w:marRight w:val="0"/>
              <w:marTop w:val="0"/>
              <w:marBottom w:val="0"/>
              <w:divBdr>
                <w:top w:val="none" w:sz="0" w:space="0" w:color="auto"/>
                <w:left w:val="none" w:sz="0" w:space="0" w:color="auto"/>
                <w:bottom w:val="none" w:sz="0" w:space="0" w:color="auto"/>
                <w:right w:val="none" w:sz="0" w:space="0" w:color="auto"/>
              </w:divBdr>
            </w:div>
            <w:div w:id="1980069433">
              <w:marLeft w:val="0"/>
              <w:marRight w:val="0"/>
              <w:marTop w:val="0"/>
              <w:marBottom w:val="0"/>
              <w:divBdr>
                <w:top w:val="none" w:sz="0" w:space="0" w:color="auto"/>
                <w:left w:val="none" w:sz="0" w:space="0" w:color="auto"/>
                <w:bottom w:val="none" w:sz="0" w:space="0" w:color="auto"/>
                <w:right w:val="none" w:sz="0" w:space="0" w:color="auto"/>
              </w:divBdr>
            </w:div>
            <w:div w:id="238758987">
              <w:marLeft w:val="0"/>
              <w:marRight w:val="0"/>
              <w:marTop w:val="0"/>
              <w:marBottom w:val="0"/>
              <w:divBdr>
                <w:top w:val="none" w:sz="0" w:space="0" w:color="auto"/>
                <w:left w:val="none" w:sz="0" w:space="0" w:color="auto"/>
                <w:bottom w:val="none" w:sz="0" w:space="0" w:color="auto"/>
                <w:right w:val="none" w:sz="0" w:space="0" w:color="auto"/>
              </w:divBdr>
            </w:div>
            <w:div w:id="1484157174">
              <w:marLeft w:val="0"/>
              <w:marRight w:val="0"/>
              <w:marTop w:val="0"/>
              <w:marBottom w:val="0"/>
              <w:divBdr>
                <w:top w:val="none" w:sz="0" w:space="0" w:color="auto"/>
                <w:left w:val="none" w:sz="0" w:space="0" w:color="auto"/>
                <w:bottom w:val="none" w:sz="0" w:space="0" w:color="auto"/>
                <w:right w:val="none" w:sz="0" w:space="0" w:color="auto"/>
              </w:divBdr>
            </w:div>
            <w:div w:id="1079592372">
              <w:marLeft w:val="0"/>
              <w:marRight w:val="0"/>
              <w:marTop w:val="0"/>
              <w:marBottom w:val="0"/>
              <w:divBdr>
                <w:top w:val="none" w:sz="0" w:space="0" w:color="auto"/>
                <w:left w:val="none" w:sz="0" w:space="0" w:color="auto"/>
                <w:bottom w:val="none" w:sz="0" w:space="0" w:color="auto"/>
                <w:right w:val="none" w:sz="0" w:space="0" w:color="auto"/>
              </w:divBdr>
            </w:div>
            <w:div w:id="411047762">
              <w:marLeft w:val="0"/>
              <w:marRight w:val="0"/>
              <w:marTop w:val="0"/>
              <w:marBottom w:val="0"/>
              <w:divBdr>
                <w:top w:val="none" w:sz="0" w:space="0" w:color="auto"/>
                <w:left w:val="none" w:sz="0" w:space="0" w:color="auto"/>
                <w:bottom w:val="none" w:sz="0" w:space="0" w:color="auto"/>
                <w:right w:val="none" w:sz="0" w:space="0" w:color="auto"/>
              </w:divBdr>
            </w:div>
            <w:div w:id="736980867">
              <w:marLeft w:val="0"/>
              <w:marRight w:val="0"/>
              <w:marTop w:val="0"/>
              <w:marBottom w:val="0"/>
              <w:divBdr>
                <w:top w:val="none" w:sz="0" w:space="0" w:color="auto"/>
                <w:left w:val="none" w:sz="0" w:space="0" w:color="auto"/>
                <w:bottom w:val="none" w:sz="0" w:space="0" w:color="auto"/>
                <w:right w:val="none" w:sz="0" w:space="0" w:color="auto"/>
              </w:divBdr>
            </w:div>
            <w:div w:id="192310110">
              <w:marLeft w:val="0"/>
              <w:marRight w:val="0"/>
              <w:marTop w:val="0"/>
              <w:marBottom w:val="0"/>
              <w:divBdr>
                <w:top w:val="none" w:sz="0" w:space="0" w:color="auto"/>
                <w:left w:val="none" w:sz="0" w:space="0" w:color="auto"/>
                <w:bottom w:val="none" w:sz="0" w:space="0" w:color="auto"/>
                <w:right w:val="none" w:sz="0" w:space="0" w:color="auto"/>
              </w:divBdr>
            </w:div>
            <w:div w:id="274026590">
              <w:marLeft w:val="0"/>
              <w:marRight w:val="0"/>
              <w:marTop w:val="0"/>
              <w:marBottom w:val="0"/>
              <w:divBdr>
                <w:top w:val="none" w:sz="0" w:space="0" w:color="auto"/>
                <w:left w:val="none" w:sz="0" w:space="0" w:color="auto"/>
                <w:bottom w:val="none" w:sz="0" w:space="0" w:color="auto"/>
                <w:right w:val="none" w:sz="0" w:space="0" w:color="auto"/>
              </w:divBdr>
            </w:div>
            <w:div w:id="426460599">
              <w:marLeft w:val="0"/>
              <w:marRight w:val="0"/>
              <w:marTop w:val="0"/>
              <w:marBottom w:val="0"/>
              <w:divBdr>
                <w:top w:val="none" w:sz="0" w:space="0" w:color="auto"/>
                <w:left w:val="none" w:sz="0" w:space="0" w:color="auto"/>
                <w:bottom w:val="none" w:sz="0" w:space="0" w:color="auto"/>
                <w:right w:val="none" w:sz="0" w:space="0" w:color="auto"/>
              </w:divBdr>
            </w:div>
            <w:div w:id="642198995">
              <w:marLeft w:val="0"/>
              <w:marRight w:val="0"/>
              <w:marTop w:val="0"/>
              <w:marBottom w:val="0"/>
              <w:divBdr>
                <w:top w:val="none" w:sz="0" w:space="0" w:color="auto"/>
                <w:left w:val="none" w:sz="0" w:space="0" w:color="auto"/>
                <w:bottom w:val="none" w:sz="0" w:space="0" w:color="auto"/>
                <w:right w:val="none" w:sz="0" w:space="0" w:color="auto"/>
              </w:divBdr>
            </w:div>
            <w:div w:id="2124374625">
              <w:marLeft w:val="0"/>
              <w:marRight w:val="0"/>
              <w:marTop w:val="0"/>
              <w:marBottom w:val="0"/>
              <w:divBdr>
                <w:top w:val="none" w:sz="0" w:space="0" w:color="auto"/>
                <w:left w:val="none" w:sz="0" w:space="0" w:color="auto"/>
                <w:bottom w:val="none" w:sz="0" w:space="0" w:color="auto"/>
                <w:right w:val="none" w:sz="0" w:space="0" w:color="auto"/>
              </w:divBdr>
            </w:div>
            <w:div w:id="90322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1236</Words>
  <Characters>7047</Characters>
  <Application>Microsoft Office Word</Application>
  <DocSecurity>0</DocSecurity>
  <Lines>58</Lines>
  <Paragraphs>16</Paragraphs>
  <ScaleCrop>false</ScaleCrop>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2026-09-10T20:54:00Z</dcterms:created>
  <dcterms:modified xsi:type="dcterms:W3CDTF">2026-09-10T21:00:00Z</dcterms:modified>
</cp:coreProperties>
</file>