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keepNext w:val="0"/>
        <w:widowControl w:val="0"/>
        <w:bidi w:val="0"/>
        <w:spacing w:before="170" w:line="400" w:lineRule="exact"/>
        <w:ind w:left="0" w:right="0" w:firstLine="0"/>
        <w:jc w:val="left"/>
        <w:rPr>
          <w:rFonts w:ascii="Cambria Math" w:cs="Cambria Math" w:hAnsi="Cambria Math" w:eastAsia="Cambria Math"/>
          <w:b w:val="0"/>
          <w:bCs w:val="0"/>
          <w:u w:color="000000"/>
          <w:rtl w:val="0"/>
        </w:rPr>
      </w:pPr>
      <w:r>
        <w:rPr>
          <w:rFonts w:ascii="Cambria Math" w:hAnsi="Cambria Math"/>
          <w:b w:val="0"/>
          <w:bCs w:val="0"/>
          <w:outline w:val="0"/>
          <w:color w:val="337ab7"/>
          <w:u w:color="337ab7"/>
          <w:rtl w:val="0"/>
          <w:lang w:val="en-US"/>
          <w14:textFill>
            <w14:solidFill>
              <w14:srgbClr w14:val="337AB7"/>
            </w14:solidFill>
          </w14:textFill>
        </w:rPr>
        <w:t xml:space="preserve">Radiographic Calibration Ball Utilisation in Hip fracture Patients - Evaluation and Quality Improvement within a Tertiary Orthopaedic Centre </w:t>
      </w:r>
    </w:p>
    <w:p>
      <w:pPr>
        <w:pStyle w:val="Body"/>
        <w:bidi w:val="0"/>
        <w:rPr>
          <w:rFonts w:ascii="Arial" w:cs="Arial" w:hAnsi="Arial" w:eastAsia="Arial"/>
        </w:rPr>
      </w:pPr>
      <w:r>
        <w:rPr>
          <w:rFonts w:ascii="Arial" w:hAnsi="Arial"/>
          <w:sz w:val="18"/>
          <w:szCs w:val="18"/>
          <w:rtl w:val="0"/>
        </w:rPr>
        <w:t xml:space="preserve">Dr </w:t>
      </w:r>
      <w:r>
        <w:rPr>
          <w:rFonts w:ascii="Arial" w:hAnsi="Arial"/>
          <w:sz w:val="18"/>
          <w:szCs w:val="18"/>
          <w:rtl w:val="0"/>
          <w:lang w:val="en-US"/>
        </w:rPr>
        <w:t>Yenuksha Amarasena</w:t>
      </w:r>
      <w:r>
        <w:rPr>
          <w:rFonts w:ascii="Arial" w:hAnsi="Arial"/>
          <w:sz w:val="18"/>
          <w:szCs w:val="18"/>
          <w:rtl w:val="0"/>
        </w:rPr>
        <w:t xml:space="preserve">, </w:t>
      </w:r>
      <w:r>
        <w:rPr>
          <w:rFonts w:ascii="Arial" w:hAnsi="Arial"/>
          <w:sz w:val="18"/>
          <w:szCs w:val="18"/>
          <w:rtl w:val="0"/>
          <w:lang w:val="en-US"/>
        </w:rPr>
        <w:t>Foundation Year 2,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</w:t>
      </w:r>
      <w:r>
        <w:rPr>
          <w:rFonts w:ascii="Arial" w:hAnsi="Arial"/>
          <w:rtl w:val="0"/>
        </w:rPr>
        <w:t xml:space="preserve"> </w:t>
      </w:r>
    </w:p>
    <w:p>
      <w:pPr>
        <w:pStyle w:val="Body"/>
        <w:bidi w:val="0"/>
        <w:rPr>
          <w:rFonts w:ascii="Arial" w:cs="Arial" w:hAnsi="Arial" w:eastAsia="Arial"/>
        </w:rPr>
      </w:pPr>
    </w:p>
    <w:p>
      <w:pPr>
        <w:pStyle w:val="Body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Dr </w:t>
      </w:r>
      <w:r>
        <w:rPr>
          <w:rFonts w:ascii="Arial" w:hAnsi="Arial"/>
          <w:sz w:val="18"/>
          <w:szCs w:val="18"/>
          <w:rtl w:val="0"/>
          <w:lang w:val="en-US"/>
        </w:rPr>
        <w:t>Raunak Rao,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K, Dr Grace Poole,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K, Dr Eesree Kalikiri,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K, Mr Langhit Kurar,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K, Mr John Williams,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K, Mr Matthew Gee, Kings College NHS Trust,</w:t>
      </w:r>
      <w:r>
        <w:rPr>
          <w:rFonts w:ascii="Arial" w:hAnsi="Arial"/>
          <w:sz w:val="18"/>
          <w:szCs w:val="18"/>
          <w:rtl w:val="0"/>
        </w:rPr>
        <w:t xml:space="preserve"> U</w:t>
      </w:r>
      <w:r>
        <w:rPr>
          <w:rFonts w:ascii="Arial" w:hAnsi="Arial"/>
          <w:sz w:val="18"/>
          <w:szCs w:val="18"/>
          <w:rtl w:val="0"/>
          <w:lang w:val="en-US"/>
        </w:rPr>
        <w:t>K</w:t>
      </w:r>
    </w:p>
    <w:p>
      <w:pPr>
        <w:pStyle w:val="Body"/>
        <w:widowControl w:val="0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  <w:sectPr>
          <w:headerReference w:type="default" r:id="rId4"/>
          <w:footerReference w:type="default" r:id="rId5"/>
          <w:pgSz w:w="11906" w:h="16838" w:orient="portrait"/>
          <w:pgMar w:top="1134" w:right="1154" w:bottom="1134" w:left="1134" w:header="709" w:footer="850"/>
          <w:bidi w:val="0"/>
        </w:sectPr>
      </w:pPr>
      <w:r>
        <w:rPr>
          <w:rFonts w:ascii="Arial" w:cs="Arial" w:hAnsi="Arial" w:eastAsia="Arial"/>
          <w:u w:color="000000"/>
          <w:rtl w:val="0"/>
        </w:rPr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147" w:after="0" w:line="240" w:lineRule="auto"/>
        <w:ind w:left="100" w:right="0" w:firstLine="0"/>
        <w:jc w:val="both"/>
        <w:outlineLvl w:val="2"/>
        <w:rPr>
          <w:rFonts w:ascii="Arial" w:cs="Arial" w:hAnsi="Arial" w:eastAsia="Arial"/>
          <w:b w:val="1"/>
          <w:bCs w:val="1"/>
          <w:spacing w:val="0"/>
          <w:sz w:val="20"/>
          <w:szCs w:val="20"/>
          <w:u w:color="000000"/>
          <w:rtl w:val="0"/>
        </w:rPr>
      </w:pPr>
      <w:r>
        <w:rPr>
          <w:rFonts w:ascii="Arial" w:hAnsi="Arial"/>
          <w:b w:val="1"/>
          <w:bCs w:val="1"/>
          <w:outline w:val="0"/>
          <w:color w:val="bf5a14"/>
          <w:spacing w:val="0"/>
          <w:sz w:val="20"/>
          <w:szCs w:val="20"/>
          <w:u w:color="bf5a14"/>
          <w:rtl w:val="0"/>
          <w:lang w:val="fr-FR"/>
          <w14:textFill>
            <w14:solidFill>
              <w14:srgbClr w14:val="BF5A14"/>
            </w14:solidFill>
          </w14:textFill>
        </w:rPr>
        <w:t xml:space="preserve">Abstract 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val="single" w:color="000000"/>
          <w:rtl w:val="0"/>
          <w:lang w:val="fr-FR"/>
        </w:rPr>
        <w:t>Introduction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trike w:val="1"/>
          <w:dstrike w:val="0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Use of the calibration ball with radiographs, is a standard preoperative investigation to help select the prosthesis for hip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arthroplasties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.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[1,2]. Calibration optimise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geometric parameters minimis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ing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intra- and postoperative complications [3].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P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roject was designed to assess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use of this technique as standard care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at a tertiary orthopaedic centre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val="single" w:color="000000"/>
          <w:rtl w:val="0"/>
          <w:lang w:val="en-US"/>
        </w:rPr>
        <w:t>Methods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We used Plan-Do-Study-Act quality improvement methodology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. Patients presenting to A&amp;E with suspected hip fractures fulfilling the inclusion criteria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were screened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over a period of time. The intervention undertaken was to educate and highlight the need for all patients to have ball calibration x-rays to be performed for suspected hip fractures. The intervention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consisted of oral presentations to the radiology and orthopaedic departments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. Primary outcome measures assessed were the proportion of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(a) X-Rays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including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a calibration ball, (b) Patients requiring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additional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imaging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with a calibration ball</w:t>
      </w:r>
      <w:r>
        <w:rPr>
          <w:rFonts w:ascii="Tw Cen MT" w:hAnsi="Tw Cen MT"/>
          <w:sz w:val="18"/>
          <w:szCs w:val="18"/>
          <w:u w:color="000000"/>
          <w:rtl w:val="0"/>
          <w:lang w:val="it-IT"/>
        </w:rPr>
        <w:t xml:space="preserve"> (c)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Hip arthoplasties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performed without a calibration ball.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 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val="single" w:color="000000"/>
          <w:rtl w:val="0"/>
          <w:lang w:val="en-US"/>
        </w:rPr>
        <w:t>Results</w:t>
      </w:r>
      <w:r>
        <w:rPr>
          <w:rFonts w:ascii="Tw Cen MT" w:hAnsi="Tw Cen MT"/>
          <w:sz w:val="18"/>
          <w:szCs w:val="18"/>
          <w:u w:color="000000"/>
          <w:rtl w:val="0"/>
        </w:rPr>
        <w:t xml:space="preserve"> 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There was a significant difference in mean age between the pre- and post-intervention populations (64.4 </w:t>
      </w:r>
      <w:r>
        <w:rPr>
          <w:rFonts w:ascii="Tw Cen MT" w:hAnsi="Tw Cen MT" w:hint="default"/>
          <w:sz w:val="18"/>
          <w:szCs w:val="18"/>
          <w:u w:color="000000"/>
          <w:rtl w:val="1"/>
        </w:rPr>
        <w:t xml:space="preserve">± </w:t>
      </w:r>
      <w:r>
        <w:rPr>
          <w:rFonts w:ascii="Tw Cen MT" w:hAnsi="Tw Cen MT"/>
          <w:sz w:val="18"/>
          <w:szCs w:val="18"/>
          <w:u w:color="000000"/>
          <w:rtl w:val="0"/>
          <w:lang w:val="pt-PT"/>
        </w:rPr>
        <w:t xml:space="preserve">20. 0 vs. 78.5 </w:t>
      </w:r>
      <w:r>
        <w:rPr>
          <w:rFonts w:ascii="Tw Cen MT" w:hAnsi="Tw Cen MT" w:hint="default"/>
          <w:sz w:val="18"/>
          <w:szCs w:val="18"/>
          <w:u w:color="000000"/>
          <w:rtl w:val="1"/>
        </w:rPr>
        <w:t xml:space="preserve">±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10.5, p&lt;0.001) . There were no significant differences in fracture type (p=0.17) or operation (p=0.32) between groups. We found a greater proportion of X-Rays with calibration balls post-intervention (3% vs 40%, p&lt;0.001) and fewer repeat X-rays requiring a calibration ball (69% vs 23%, p=0.026). There was a significant reduction in proportion of patients receiving operative management without a calibration ball (37% vs 13%, p = 0.02).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val="single" w:color="000000"/>
          <w:rtl w:val="0"/>
        </w:rPr>
      </w:pPr>
      <w:r>
        <w:rPr>
          <w:rFonts w:ascii="Tw Cen MT" w:hAnsi="Tw Cen MT"/>
          <w:sz w:val="18"/>
          <w:szCs w:val="18"/>
          <w:u w:val="single" w:color="000000"/>
          <w:rtl w:val="0"/>
          <w:lang w:val="fr-FR"/>
        </w:rPr>
        <w:t>Conclusions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</w:rPr>
      </w:pPr>
      <w:r>
        <w:rPr>
          <w:rFonts w:ascii="Tw Cen MT" w:hAnsi="Tw Cen MT"/>
          <w:sz w:val="18"/>
          <w:szCs w:val="18"/>
          <w:u w:color="000000"/>
          <w:rtl w:val="0"/>
          <w:lang w:val="en-US"/>
        </w:rPr>
        <w:t xml:space="preserve">Departmental presentations improved calibration ball utilisation and reduced the proportion of patients requiring repeat X-rays. This intervention decreased repeat radiation exposure and the proportion of arthroplasties performed without calibration balls. Further possible interventions include hospital electronic order modifications, prompting selection of  a </w:t>
      </w:r>
      <w:r>
        <w:rPr>
          <w:rFonts w:ascii="Tw Cen MT" w:hAnsi="Tw Cen MT" w:hint="default"/>
          <w:sz w:val="18"/>
          <w:szCs w:val="18"/>
          <w:u w:color="000000"/>
          <w:rtl w:val="1"/>
        </w:rPr>
        <w:t>‘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calibration ball inclusion</w:t>
      </w:r>
      <w:r>
        <w:rPr>
          <w:rFonts w:ascii="Tw Cen MT" w:hAnsi="Tw Cen MT" w:hint="default"/>
          <w:sz w:val="18"/>
          <w:szCs w:val="18"/>
          <w:u w:color="000000"/>
          <w:rtl w:val="1"/>
        </w:rPr>
        <w:t xml:space="preserve">’ </w:t>
      </w:r>
      <w:r>
        <w:rPr>
          <w:rFonts w:ascii="Tw Cen MT" w:hAnsi="Tw Cen MT"/>
          <w:sz w:val="18"/>
          <w:szCs w:val="18"/>
          <w:u w:color="000000"/>
          <w:rtl w:val="0"/>
          <w:lang w:val="en-US"/>
        </w:rPr>
        <w:t>option when querying hip fractures.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color="000000"/>
          <w:rtl w:val="0"/>
        </w:rPr>
        <w:br w:type="column"/>
      </w:r>
    </w:p>
    <w:p>
      <w:pPr>
        <w:pStyle w:val="Heading 3"/>
        <w:keepNext w:val="0"/>
        <w:widowControl w:val="0"/>
        <w:pBdr>
          <w:top w:val="nil"/>
          <w:left w:val="nil"/>
          <w:bottom w:val="nil"/>
          <w:right w:val="nil"/>
        </w:pBdr>
        <w:bidi w:val="0"/>
        <w:spacing w:before="74" w:after="0" w:line="240" w:lineRule="auto"/>
        <w:ind w:left="100" w:right="0" w:firstLine="0"/>
        <w:jc w:val="left"/>
        <w:outlineLvl w:val="2"/>
        <w:rPr>
          <w:rFonts w:ascii="Arial" w:cs="Arial" w:hAnsi="Arial" w:eastAsia="Arial"/>
          <w:b w:val="1"/>
          <w:bCs w:val="1"/>
          <w:outline w:val="0"/>
          <w:color w:val="bf5a14"/>
          <w:spacing w:val="0"/>
          <w:sz w:val="20"/>
          <w:szCs w:val="20"/>
          <w:u w:color="bf5a14"/>
          <w:rtl w:val="0"/>
          <w14:textFill>
            <w14:solidFill>
              <w14:srgbClr w14:val="BF5A14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bf5a14"/>
          <w:spacing w:val="0"/>
          <w:sz w:val="20"/>
          <w:szCs w:val="20"/>
          <w:u w:color="bf5a14"/>
          <w:rtl w:val="0"/>
          <w:lang w:val="de-DE"/>
          <w14:textFill>
            <w14:solidFill>
              <w14:srgbClr w14:val="BF5A14"/>
            </w14:solidFill>
          </w14:textFill>
        </w:rPr>
        <w:t>Image</w:t>
      </w:r>
      <w:r>
        <w:rPr>
          <w:rFonts w:ascii="Arial" w:cs="Arial" w:hAnsi="Arial" w:eastAsia="Arial"/>
          <w:b w:val="1"/>
          <w:bCs w:val="1"/>
          <w:outline w:val="0"/>
          <w:color w:val="bf5a14"/>
          <w:spacing w:val="0"/>
          <w:sz w:val="20"/>
          <w:szCs w:val="20"/>
          <w:u w:color="bf5a14"/>
          <w:rtl w:val="0"/>
          <w14:textFill>
            <w14:solidFill>
              <w14:srgbClr w14:val="BF5A14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3209673</wp:posOffset>
            </wp:positionH>
            <wp:positionV relativeFrom="line">
              <wp:posOffset>139395</wp:posOffset>
            </wp:positionV>
            <wp:extent cx="2450994" cy="16358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creenshot 2023-03-08 at 12.10.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 2023-03-08 at 12.10.44.png" descr="Screenshot 2023-03-08 at 12.10.44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994" cy="16358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widowControl w:val="0"/>
        <w:bidi w:val="0"/>
        <w:spacing w:line="204" w:lineRule="exact"/>
        <w:ind w:left="0" w:right="0" w:firstLine="0"/>
        <w:jc w:val="left"/>
        <w:rPr>
          <w:rFonts w:ascii="Tw Cen MT" w:cs="Tw Cen MT" w:hAnsi="Tw Cen MT" w:eastAsia="Tw Cen MT"/>
          <w:u w:color="000000"/>
          <w:rtl w:val="0"/>
        </w:rPr>
      </w:pPr>
      <w:r>
        <w:rPr>
          <w:rFonts w:ascii="Arial" w:hAnsi="Arial"/>
          <w:b w:val="1"/>
          <w:bCs w:val="1"/>
          <w:outline w:val="0"/>
          <w:color w:val="bf5a14"/>
          <w:sz w:val="20"/>
          <w:szCs w:val="20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 xml:space="preserve">References </w:t>
      </w:r>
    </w:p>
    <w:p>
      <w:pPr>
        <w:pStyle w:val="Default"/>
        <w:widowControl w:val="0"/>
        <w:numPr>
          <w:ilvl w:val="0"/>
          <w:numId w:val="2"/>
        </w:numPr>
        <w:spacing w:before="103" w:line="216" w:lineRule="exact"/>
        <w:ind w:right="138"/>
        <w:jc w:val="both"/>
        <w:rPr>
          <w:rFonts w:ascii="Calibri" w:hAnsi="Calibri"/>
          <w:sz w:val="18"/>
          <w:szCs w:val="18"/>
          <w:u w:color="000000"/>
          <w:lang w:val="en-US"/>
        </w:rPr>
      </w:pPr>
      <w:r>
        <w:rPr>
          <w:rFonts w:ascii="Calibri" w:hAnsi="Calibri"/>
          <w:sz w:val="18"/>
          <w:szCs w:val="18"/>
          <w:u w:color="000000"/>
          <w:rtl w:val="0"/>
          <w:lang w:val="en-US"/>
        </w:rPr>
        <w:t xml:space="preserve">Boese CK, Lechler P, Rose L, Dargel J, Oppermann J, Eysel P, et al. Calibration markers for digital templating in total hip arthroplasty. PLoS One. 2015 </w:t>
      </w:r>
    </w:p>
    <w:p>
      <w:pPr>
        <w:pStyle w:val="Default"/>
        <w:widowControl w:val="0"/>
        <w:numPr>
          <w:ilvl w:val="0"/>
          <w:numId w:val="2"/>
        </w:numPr>
        <w:spacing w:before="103" w:line="216" w:lineRule="exact"/>
        <w:ind w:right="138"/>
        <w:jc w:val="both"/>
        <w:rPr>
          <w:rFonts w:ascii="Calibri" w:hAnsi="Calibri"/>
          <w:sz w:val="18"/>
          <w:szCs w:val="18"/>
          <w:u w:color="000000"/>
          <w:lang w:val="en-US"/>
        </w:rPr>
      </w:pPr>
      <w:r>
        <w:rPr>
          <w:rFonts w:ascii="Calibri" w:hAnsi="Calibri"/>
          <w:sz w:val="18"/>
          <w:szCs w:val="18"/>
          <w:u w:color="000000"/>
          <w:rtl w:val="0"/>
          <w:lang w:val="en-US"/>
        </w:rPr>
        <w:t>Holliday M, Steward A. Pre-operative templating for total hip arthroplasty: How does radiographic technique and calibration marker placement affect image magnification? J Med Radiat Sci. 2021</w:t>
      </w:r>
    </w:p>
    <w:p>
      <w:pPr>
        <w:pStyle w:val="Default"/>
        <w:widowControl w:val="0"/>
        <w:numPr>
          <w:ilvl w:val="0"/>
          <w:numId w:val="2"/>
        </w:numPr>
        <w:spacing w:before="103" w:line="216" w:lineRule="exact"/>
        <w:ind w:right="138"/>
        <w:jc w:val="both"/>
        <w:rPr>
          <w:rFonts w:ascii="Calibri" w:hAnsi="Calibri"/>
          <w:sz w:val="18"/>
          <w:szCs w:val="18"/>
          <w:u w:color="000000"/>
          <w:lang w:val="en-US"/>
        </w:rPr>
      </w:pPr>
      <w:r>
        <w:rPr>
          <w:rFonts w:ascii="Calibri" w:hAnsi="Calibri"/>
          <w:sz w:val="18"/>
          <w:szCs w:val="18"/>
          <w:u w:color="000000"/>
          <w:rtl w:val="0"/>
          <w:lang w:val="en-US"/>
        </w:rPr>
        <w:t>Stigler SK, M</w:t>
      </w:r>
      <w:r>
        <w:rPr>
          <w:rFonts w:ascii="Calibri" w:hAnsi="Calibri" w:hint="default"/>
          <w:sz w:val="18"/>
          <w:szCs w:val="18"/>
          <w:u w:color="000000"/>
          <w:rtl w:val="0"/>
          <w:lang w:val="en-US"/>
        </w:rPr>
        <w:t>ü</w:t>
      </w:r>
      <w:r>
        <w:rPr>
          <w:rFonts w:ascii="Calibri" w:hAnsi="Calibri"/>
          <w:sz w:val="18"/>
          <w:szCs w:val="18"/>
          <w:u w:color="000000"/>
          <w:rtl w:val="0"/>
          <w:lang w:val="en-US"/>
        </w:rPr>
        <w:t>ller FJ, Pfaud S, Zellner M, F</w:t>
      </w:r>
      <w:r>
        <w:rPr>
          <w:rFonts w:ascii="Calibri" w:hAnsi="Calibri" w:hint="default"/>
          <w:sz w:val="18"/>
          <w:szCs w:val="18"/>
          <w:u w:color="000000"/>
          <w:rtl w:val="0"/>
          <w:lang w:val="en-US"/>
        </w:rPr>
        <w:t>ü</w:t>
      </w:r>
      <w:r>
        <w:rPr>
          <w:rFonts w:ascii="Calibri" w:hAnsi="Calibri"/>
          <w:sz w:val="18"/>
          <w:szCs w:val="18"/>
          <w:u w:color="000000"/>
          <w:rtl w:val="0"/>
          <w:lang w:val="en-US"/>
        </w:rPr>
        <w:t>chtmeier B. Digital templating in total hip arthroplasty: Additional anteroposterior hip view increases the accuracy. World J Orthop. 2017</w:t>
      </w:r>
    </w:p>
    <w:p>
      <w:pPr>
        <w:pStyle w:val="Body"/>
        <w:widowControl w:val="0"/>
        <w:bidi w:val="0"/>
        <w:spacing w:line="204" w:lineRule="exact"/>
        <w:ind w:left="0" w:right="0" w:firstLine="0"/>
        <w:jc w:val="left"/>
        <w:rPr>
          <w:rFonts w:ascii="Calibri" w:cs="Calibri" w:hAnsi="Calibri" w:eastAsia="Calibri"/>
          <w:u w:color="000000"/>
          <w:rtl w:val="0"/>
        </w:rPr>
      </w:pPr>
    </w:p>
    <w:p>
      <w:pPr>
        <w:pStyle w:val="Body"/>
        <w:widowControl w:val="0"/>
        <w:bidi w:val="0"/>
        <w:spacing w:line="204" w:lineRule="exact"/>
        <w:ind w:left="0" w:right="0" w:firstLine="0"/>
        <w:jc w:val="left"/>
        <w:rPr>
          <w:rFonts w:ascii="Tw Cen MT" w:cs="Tw Cen MT" w:hAnsi="Tw Cen MT" w:eastAsia="Tw Cen MT"/>
          <w:u w:color="000000"/>
          <w:rtl w:val="0"/>
        </w:rPr>
      </w:pPr>
      <w:r>
        <w:rPr>
          <w:rFonts w:ascii="Arial" w:hAnsi="Arial"/>
          <w:b w:val="1"/>
          <w:bCs w:val="1"/>
          <w:outline w:val="0"/>
          <w:color w:val="bf5a14"/>
          <w:sz w:val="20"/>
          <w:szCs w:val="20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 xml:space="preserve">Presentations  &amp; Publications </w:t>
      </w:r>
    </w:p>
    <w:p>
      <w:pPr>
        <w:pStyle w:val="Default"/>
        <w:widowControl w:val="0"/>
        <w:tabs>
          <w:tab w:val="left" w:pos="384"/>
        </w:tabs>
        <w:spacing w:before="103" w:line="216" w:lineRule="exact"/>
        <w:ind w:right="138"/>
        <w:jc w:val="both"/>
        <w:rPr>
          <w:rFonts w:ascii="Calibri" w:cs="Calibri" w:hAnsi="Calibri" w:eastAsia="Calibri"/>
          <w:sz w:val="18"/>
          <w:szCs w:val="18"/>
          <w:u w:color="000000"/>
          <w:lang w:val="en-US"/>
        </w:rPr>
      </w:pPr>
      <w:r>
        <w:rPr>
          <w:rFonts w:ascii="Calibri" w:hAnsi="Calibri"/>
          <w:sz w:val="18"/>
          <w:szCs w:val="18"/>
          <w:u w:color="337ab7"/>
          <w:rtl w:val="0"/>
          <w:lang w:val="en-US"/>
        </w:rPr>
        <w:t xml:space="preserve">Radiographic Calibration Ball Utilisation in Hip fracture Patients - Evaluation and Quality Improvement within a Tertiary Orthopaedic Centre - </w:t>
      </w:r>
      <w:r>
        <w:rPr>
          <w:rFonts w:ascii="Calibri" w:hAnsi="Calibri"/>
          <w:sz w:val="18"/>
          <w:szCs w:val="18"/>
          <w:u w:color="000000"/>
          <w:rtl w:val="0"/>
          <w:lang w:val="en-US"/>
        </w:rPr>
        <w:t>Regional presentation, Kings College Hospital NHS Trust</w:t>
      </w:r>
    </w:p>
    <w:p>
      <w:pPr>
        <w:pStyle w:val="Default"/>
        <w:widowControl w:val="0"/>
        <w:tabs>
          <w:tab w:val="left" w:pos="384"/>
        </w:tabs>
        <w:spacing w:before="103" w:line="216" w:lineRule="exact"/>
        <w:ind w:right="138"/>
        <w:jc w:val="both"/>
        <w:rPr>
          <w:rFonts w:ascii="Calibri" w:cs="Calibri" w:hAnsi="Calibri" w:eastAsia="Calibri"/>
          <w:sz w:val="18"/>
          <w:szCs w:val="18"/>
          <w:u w:color="000000"/>
          <w:lang w:val="en-US"/>
        </w:rPr>
      </w:pPr>
      <w:r>
        <w:rPr>
          <w:rFonts w:ascii="Calibri" w:hAnsi="Calibri"/>
          <w:sz w:val="18"/>
          <w:szCs w:val="18"/>
          <w:u w:color="000000"/>
          <w:rtl w:val="0"/>
          <w:lang w:val="en-US"/>
        </w:rPr>
        <w:t xml:space="preserve">Multiple Myeloma &amp; Liver failure screening in Orthopaedics and Ortho-geriatrics - Regional presentation, Kings College Hospital NHS Trust </w:t>
      </w:r>
    </w:p>
    <w:p>
      <w:pPr>
        <w:pStyle w:val="Default"/>
        <w:widowControl w:val="0"/>
        <w:tabs>
          <w:tab w:val="left" w:pos="384"/>
        </w:tabs>
        <w:spacing w:before="103" w:line="216" w:lineRule="exact"/>
        <w:ind w:right="138"/>
        <w:jc w:val="both"/>
        <w:rPr>
          <w:rFonts w:ascii="Calibri" w:cs="Calibri" w:hAnsi="Calibri" w:eastAsia="Calibri"/>
          <w:sz w:val="2"/>
          <w:szCs w:val="2"/>
          <w:u w:color="000000"/>
          <w:lang w:val="en-US"/>
        </w:rPr>
        <w:sectPr>
          <w:type w:val="continuous"/>
          <w:pgSz w:w="11906" w:h="16838" w:orient="portrait"/>
          <w:pgMar w:top="1134" w:right="1154" w:bottom="1134" w:left="1134" w:header="709" w:footer="850"/>
          <w:cols w:num="2" w:equalWidth="0">
            <w:col w:w="4701" w:space="124"/>
            <w:col w:w="4813" w:space="0"/>
          </w:cols>
          <w:bidi w:val="0"/>
        </w:sectPr>
      </w:pPr>
      <w:r>
        <w:rPr>
          <w:rFonts w:ascii="Calibri" w:hAnsi="Calibri"/>
          <w:sz w:val="18"/>
          <w:szCs w:val="18"/>
          <w:u w:color="000000"/>
          <w:rtl w:val="0"/>
          <w:lang w:val="en-US"/>
        </w:rPr>
        <w:t>COVIDSurg C</w:t>
      </w:r>
      <w:r>
        <w:rPr>
          <w:rFonts w:ascii="Calibri" w:hAnsi="Calibri"/>
          <w:sz w:val="18"/>
          <w:szCs w:val="18"/>
          <w:u w:color="000000"/>
          <w:rtl w:val="0"/>
          <w:lang w:val="en-US"/>
        </w:rPr>
        <w:t>ollaborative; GlobalSurg Collaborative. Timing of surgery following SARS-CoV-2 infection: an international prospective cohort study. Anaesthesia. 2021 Jun;76(6):748-758. doi: 10.1111/anae.15458. Epub 2021 Mar 9. PMID: 33690889; PMCID: PMC8206995.</w:t>
      </w:r>
      <w:r>
        <w:rPr>
          <w:rFonts w:ascii="Calibri" w:cs="Calibri" w:hAnsi="Calibri" w:eastAsia="Calibri"/>
          <w:sz w:val="2"/>
          <w:szCs w:val="2"/>
          <w:u w:color="000000"/>
          <w:lang w:val="en-US"/>
        </w:rPr>
      </w:r>
    </w:p>
    <w:p>
      <w:pPr>
        <w:pStyle w:val="Default"/>
        <w:widowControl w:val="0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2"/>
          <w:szCs w:val="2"/>
          <w:u w:color="000000"/>
          <w:rtl w:val="0"/>
          <w:lang w:val="en-US"/>
        </w:rPr>
      </w:pPr>
      <w:r>
        <w:rPr>
          <w:rFonts w:ascii="Calibri" w:cs="Calibri" w:hAnsi="Calibri" w:eastAsia="Calibri"/>
          <w:sz w:val="2"/>
          <w:szCs w:val="2"/>
          <w:u w:color="000000"/>
          <w:rtl w:val="0"/>
          <w:lang w:val="en-US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143705</wp:posOffset>
            </wp:positionV>
            <wp:extent cx="777297" cy="104379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97" cy="1043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"/>
          <w:szCs w:val="2"/>
          <w:u w:color="000000"/>
          <w:rtl w:val="0"/>
          <w:lang w:val="en-US"/>
        </w:rPr>
        <w:t xml:space="preserve">             </w:t>
      </w:r>
    </w:p>
    <w:p>
      <w:pPr>
        <w:pStyle w:val="Default"/>
        <w:widowControl w:val="0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"/>
          <w:szCs w:val="2"/>
          <w:u w:color="000000"/>
          <w:rtl w:val="0"/>
          <w:lang w:val="en-US"/>
        </w:rPr>
      </w:pPr>
    </w:p>
    <w:p>
      <w:pPr>
        <w:pStyle w:val="Default"/>
        <w:widowControl w:val="0"/>
        <w:bidi w:val="0"/>
        <w:spacing w:before="0" w:line="40" w:lineRule="exact"/>
        <w:ind w:left="2202" w:right="0" w:firstLine="0"/>
        <w:jc w:val="left"/>
        <w:rPr>
          <w:rFonts w:ascii="Calibri" w:cs="Calibri" w:hAnsi="Calibri" w:eastAsia="Calibri"/>
          <w:sz w:val="2"/>
          <w:szCs w:val="2"/>
          <w:u w:color="000000"/>
          <w:rtl w:val="0"/>
          <w:lang w:val="en-US"/>
        </w:rPr>
      </w:pPr>
      <w:r>
        <w:rPr>
          <w:rFonts w:ascii="Calibri" w:cs="Calibri" w:hAnsi="Calibri" w:eastAsia="Calibri"/>
          <w:sz w:val="2"/>
          <w:szCs w:val="2"/>
          <w:u w:color="000000"/>
          <w:rtl w:val="0"/>
          <w:lang w:val="en-US"/>
        </w:rPr>
        <mc:AlternateContent>
          <mc:Choice Requires="wps">
            <w:drawing xmlns:a="http://schemas.openxmlformats.org/drawingml/2006/main">
              <wp:inline distT="0" distB="0" distL="0" distR="0">
                <wp:extent cx="3950335" cy="0"/>
                <wp:effectExtent l="0" t="0" r="0" b="0"/>
                <wp:docPr id="1073741827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Default"/>
        <w:widowControl w:val="0"/>
        <w:bidi w:val="0"/>
        <w:spacing w:before="0" w:line="40" w:lineRule="exact"/>
        <w:ind w:left="2202" w:right="0" w:firstLine="0"/>
        <w:jc w:val="left"/>
        <w:rPr>
          <w:rFonts w:ascii="Tw Cen MT" w:cs="Tw Cen MT" w:hAnsi="Tw Cen MT" w:eastAsia="Tw Cen MT"/>
          <w:sz w:val="18"/>
          <w:szCs w:val="18"/>
          <w:u w:color="000000"/>
          <w:rtl w:val="0"/>
          <w:lang w:val="en-US"/>
        </w:rPr>
      </w:pPr>
    </w:p>
    <w:p>
      <w:pPr>
        <w:pStyle w:val="Body"/>
        <w:widowControl w:val="0"/>
        <w:bidi w:val="0"/>
        <w:spacing w:before="92"/>
        <w:ind w:left="0" w:right="4234" w:firstLine="0"/>
        <w:jc w:val="left"/>
        <w:rPr>
          <w:rFonts w:ascii="Tw Cen MT" w:cs="Tw Cen MT" w:hAnsi="Tw Cen MT" w:eastAsia="Tw Cen MT"/>
          <w:u w:color="000000"/>
          <w:rtl w:val="0"/>
        </w:rPr>
      </w:pPr>
    </w:p>
    <w:p>
      <w:pPr>
        <w:pStyle w:val="Body"/>
        <w:widowControl w:val="0"/>
        <w:bidi w:val="0"/>
        <w:spacing w:before="92"/>
        <w:ind w:left="0" w:right="4234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hAnsi="Arial"/>
          <w:outline w:val="0"/>
          <w:color w:val="bf5a14"/>
          <w:u w:color="bf5a14"/>
          <w:rtl w:val="0"/>
          <w:lang w:val="fr-FR"/>
          <w14:textFill>
            <w14:solidFill>
              <w14:srgbClr w14:val="BF5A14"/>
            </w14:solidFill>
          </w14:textFill>
        </w:rPr>
        <w:t>Biography</w:t>
      </w:r>
      <w:r>
        <w:rPr>
          <w:rFonts w:ascii="Arial" w:hAnsi="Arial"/>
          <w:outline w:val="0"/>
          <w:color w:val="bf5a14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 xml:space="preserve"> </w:t>
      </w:r>
    </w:p>
    <w:p>
      <w:pPr>
        <w:pStyle w:val="Body"/>
        <w:widowControl w:val="0"/>
        <w:bidi w:val="0"/>
        <w:spacing w:before="41" w:line="154" w:lineRule="exact"/>
        <w:ind w:left="213" w:right="231" w:firstLine="0"/>
        <w:jc w:val="both"/>
        <w:rPr>
          <w:rFonts w:ascii="Arial" w:cs="Arial" w:hAnsi="Arial" w:eastAsia="Arial"/>
          <w:sz w:val="14"/>
          <w:szCs w:val="14"/>
          <w:u w:color="000000"/>
          <w:rtl w:val="0"/>
        </w:rPr>
      </w:pP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I have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gained valuable surgical experiences wo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rk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ing within the orthopaedic team at a major trauma centre. While showing interest in surgical technique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s</w:t>
      </w:r>
      <w:r>
        <w:rPr>
          <w:rFonts w:ascii="Arial" w:hAnsi="Arial"/>
          <w:sz w:val="14"/>
          <w:szCs w:val="14"/>
          <w:u w:color="000000"/>
          <w:rtl w:val="0"/>
        </w:rPr>
        <w:t xml:space="preserve">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I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 was also passionate in improving patient safety. During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my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 orthopaedic rotation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I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 led multiple audits and quality improvement projects.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My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 work on calibration balls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,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 was closely collaborated with the radiology department to implement active changes to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hip </w:t>
      </w:r>
      <w:r>
        <w:rPr>
          <w:rFonts w:ascii="Arial" w:hAnsi="Arial"/>
          <w:sz w:val="14"/>
          <w:szCs w:val="14"/>
          <w:u w:color="000000"/>
          <w:rtl w:val="0"/>
          <w:lang w:val="en-US"/>
        </w:rPr>
        <w:t>fracture management pathways within the hospital.</w:t>
      </w:r>
    </w:p>
    <w:p>
      <w:pPr>
        <w:pStyle w:val="Body"/>
        <w:widowControl w:val="0"/>
        <w:bidi w:val="0"/>
        <w:spacing w:before="41" w:line="154" w:lineRule="exact"/>
        <w:ind w:left="213" w:right="231" w:firstLine="0"/>
        <w:jc w:val="center"/>
        <w:rPr>
          <w:rFonts w:ascii="Arial" w:cs="Arial" w:hAnsi="Arial" w:eastAsia="Arial"/>
          <w:sz w:val="14"/>
          <w:szCs w:val="14"/>
          <w:u w:color="000000"/>
          <w:rtl w:val="0"/>
        </w:rPr>
      </w:pPr>
    </w:p>
    <w:p>
      <w:pPr>
        <w:pStyle w:val="Body"/>
        <w:widowControl w:val="0"/>
        <w:bidi w:val="0"/>
        <w:spacing w:before="41" w:line="154" w:lineRule="exact"/>
        <w:ind w:left="213" w:right="231" w:firstLine="0"/>
        <w:jc w:val="center"/>
        <w:rPr>
          <w:rFonts w:ascii="Arial" w:cs="Arial" w:hAnsi="Arial" w:eastAsia="Arial"/>
          <w:sz w:val="14"/>
          <w:szCs w:val="14"/>
          <w:u w:color="000000"/>
          <w:rtl w:val="0"/>
        </w:rPr>
      </w:pPr>
      <w:r>
        <w:rPr>
          <w:rFonts w:ascii="Arial" w:hAnsi="Arial"/>
          <w:sz w:val="14"/>
          <w:szCs w:val="14"/>
          <w:u w:color="000000"/>
          <w:rtl w:val="0"/>
          <w:lang w:val="en-US"/>
        </w:rPr>
        <w:t xml:space="preserve">DR YENUKSHA AMARASENA </w:t>
        <w:tab/>
        <w:t>Email: Y.AMARASENA@NHS.NET</w:t>
      </w:r>
    </w:p>
    <w:p>
      <w:pPr>
        <w:pStyle w:val="Body"/>
        <w:widowControl w:val="0"/>
        <w:bidi w:val="0"/>
        <w:spacing w:before="41" w:line="154" w:lineRule="exact"/>
        <w:ind w:left="213" w:right="231" w:firstLine="0"/>
        <w:jc w:val="center"/>
        <w:rPr>
          <w:rtl w:val="0"/>
        </w:rPr>
      </w:pPr>
      <w:r>
        <w:rPr>
          <w:rFonts w:ascii="Arial" w:hAnsi="Arial"/>
          <w:sz w:val="14"/>
          <w:szCs w:val="14"/>
          <w:u w:color="000000"/>
          <w:rtl w:val="0"/>
          <w:lang w:val="en-US"/>
        </w:rPr>
        <w:t>Tel: +44 (0) 7445207283</w:t>
        <w:tab/>
        <w:t xml:space="preserve">Presentation type: Poster </w:t>
      </w:r>
    </w:p>
    <w:sectPr>
      <w:type w:val="continuous"/>
      <w:pgSz w:w="11906" w:h="16838" w:orient="portrait"/>
      <w:pgMar w:top="1134" w:right="115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 Math">
    <w:charset w:val="00"/>
    <w:family w:val="roman"/>
    <w:pitch w:val="default"/>
  </w:font>
  <w:font w:name="Tw Cen MT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384"/>
        </w:tabs>
        <w:ind w:left="38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84"/>
        </w:tabs>
        <w:ind w:left="100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84"/>
        </w:tabs>
        <w:ind w:left="172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84"/>
        </w:tabs>
        <w:ind w:left="244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84"/>
        </w:tabs>
        <w:ind w:left="316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84"/>
        </w:tabs>
        <w:ind w:left="388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84"/>
        </w:tabs>
        <w:ind w:left="460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84"/>
        </w:tabs>
        <w:ind w:left="532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84"/>
        </w:tabs>
        <w:ind w:left="604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1.jpeg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