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ED995" w14:textId="56CCDC6E" w:rsidR="003E4A37" w:rsidRPr="003E4A37" w:rsidRDefault="003E4A37" w:rsidP="003E4A37">
      <w:pPr>
        <w:pStyle w:val="BodyText"/>
        <w:ind w:left="144" w:right="576"/>
        <w:jc w:val="center"/>
        <w:rPr>
          <w:rFonts w:ascii="Arial"/>
          <w:b/>
          <w:bCs/>
        </w:rPr>
      </w:pPr>
      <w:r w:rsidRPr="003E4A37">
        <w:rPr>
          <w:rFonts w:ascii="OpenSans" w:hAnsi="OpenSans"/>
          <w:b/>
          <w:bCs/>
          <w:color w:val="000000"/>
          <w:sz w:val="36"/>
          <w:szCs w:val="36"/>
        </w:rPr>
        <w:t>Pharmacokinetics and drug</w:t>
      </w:r>
      <w:r>
        <w:rPr>
          <w:rFonts w:ascii="OpenSans" w:hAnsi="OpenSans"/>
          <w:b/>
          <w:bCs/>
          <w:color w:val="000000"/>
          <w:sz w:val="36"/>
          <w:szCs w:val="36"/>
        </w:rPr>
        <w:t>-</w:t>
      </w:r>
      <w:r w:rsidRPr="003E4A37">
        <w:rPr>
          <w:rFonts w:ascii="OpenSans" w:hAnsi="OpenSans"/>
          <w:b/>
          <w:bCs/>
          <w:color w:val="000000"/>
          <w:sz w:val="36"/>
          <w:szCs w:val="36"/>
        </w:rPr>
        <w:t>likeness of</w:t>
      </w:r>
      <w:r w:rsidRPr="003E4A37">
        <w:rPr>
          <w:rFonts w:ascii="OpenSans" w:hAnsi="OpenSans"/>
          <w:b/>
          <w:bCs/>
          <w:color w:val="000000"/>
          <w:sz w:val="36"/>
          <w:szCs w:val="36"/>
        </w:rPr>
        <w:t xml:space="preserve"> </w:t>
      </w:r>
      <w:r w:rsidRPr="003E4A37">
        <w:rPr>
          <w:rFonts w:ascii="OpenSans" w:hAnsi="OpenSans"/>
          <w:b/>
          <w:bCs/>
          <w:color w:val="000000"/>
          <w:sz w:val="36"/>
          <w:szCs w:val="36"/>
        </w:rPr>
        <w:t>antidiabetic flavonoids: Molecular docking</w:t>
      </w:r>
      <w:r w:rsidRPr="003E4A37">
        <w:rPr>
          <w:rFonts w:ascii="OpenSans" w:hAnsi="OpenSans"/>
          <w:b/>
          <w:bCs/>
          <w:color w:val="000000"/>
          <w:sz w:val="36"/>
          <w:szCs w:val="36"/>
        </w:rPr>
        <w:t xml:space="preserve"> </w:t>
      </w:r>
      <w:r w:rsidRPr="003E4A37">
        <w:rPr>
          <w:rFonts w:ascii="OpenSans" w:hAnsi="OpenSans"/>
          <w:b/>
          <w:bCs/>
          <w:color w:val="000000"/>
          <w:sz w:val="36"/>
          <w:szCs w:val="36"/>
        </w:rPr>
        <w:t>and DFT study</w:t>
      </w:r>
    </w:p>
    <w:p w14:paraId="7141A621" w14:textId="77777777" w:rsidR="003E4A37" w:rsidRDefault="003E4A37" w:rsidP="005973B9">
      <w:pPr>
        <w:pStyle w:val="BodyText"/>
        <w:spacing w:before="73" w:line="198" w:lineRule="exact"/>
        <w:ind w:left="100" w:right="5987"/>
        <w:rPr>
          <w:rFonts w:ascii="Arial"/>
        </w:rPr>
      </w:pPr>
    </w:p>
    <w:p w14:paraId="598FDEAF" w14:textId="77777777" w:rsidR="003E4A37" w:rsidRDefault="003E4A37" w:rsidP="005973B9">
      <w:pPr>
        <w:pStyle w:val="BodyText"/>
        <w:spacing w:before="73" w:line="198" w:lineRule="exact"/>
        <w:ind w:left="100" w:right="5987"/>
        <w:rPr>
          <w:rFonts w:ascii="Arial"/>
        </w:rPr>
      </w:pPr>
    </w:p>
    <w:p w14:paraId="1CCA2117" w14:textId="1D9F8E2D" w:rsidR="005973B9" w:rsidRDefault="003E4A37" w:rsidP="005973B9">
      <w:pPr>
        <w:pStyle w:val="BodyText"/>
        <w:spacing w:before="73" w:line="198" w:lineRule="exact"/>
        <w:ind w:left="100" w:right="5987"/>
        <w:rPr>
          <w:rFonts w:ascii="Arial"/>
        </w:rPr>
      </w:pPr>
      <w:r>
        <w:rPr>
          <w:rFonts w:ascii="Arial"/>
        </w:rPr>
        <w:t>Mamaru B. Alem, Ethiopia</w:t>
      </w:r>
    </w:p>
    <w:p w14:paraId="11642C33" w14:textId="77777777" w:rsidR="00AE3E37" w:rsidRDefault="00AE3E37">
      <w:pPr>
        <w:pStyle w:val="BodyText"/>
        <w:rPr>
          <w:rFonts w:ascii="Arial"/>
          <w:sz w:val="20"/>
        </w:rPr>
      </w:pPr>
    </w:p>
    <w:p w14:paraId="4B0066E2" w14:textId="77777777" w:rsidR="00AE3E37" w:rsidRDefault="00AE3E37">
      <w:pPr>
        <w:pStyle w:val="BodyText"/>
        <w:spacing w:before="3"/>
        <w:rPr>
          <w:rFonts w:ascii="Arial"/>
          <w:sz w:val="21"/>
        </w:rPr>
      </w:pPr>
    </w:p>
    <w:p w14:paraId="6977DB7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2A7B1B" w14:textId="77777777" w:rsidR="00AE3E37" w:rsidRDefault="00A9710C">
      <w:pPr>
        <w:pStyle w:val="Heading3"/>
        <w:spacing w:before="147"/>
        <w:jc w:val="both"/>
      </w:pPr>
      <w:r>
        <w:rPr>
          <w:color w:val="BF5A14"/>
        </w:rPr>
        <w:t>Abstract</w:t>
      </w:r>
      <w:r w:rsidR="00404E5B">
        <w:rPr>
          <w:color w:val="BF5A14"/>
        </w:rPr>
        <w:t xml:space="preserve"> (300 word limit)</w:t>
      </w:r>
    </w:p>
    <w:p w14:paraId="1B77180B" w14:textId="77777777" w:rsidR="007368F0" w:rsidRDefault="001D20C4">
      <w:pPr>
        <w:pStyle w:val="Heading3"/>
        <w:spacing w:before="74"/>
        <w:rPr>
          <w:rFonts w:asciiTheme="minorHAnsi" w:hAnsiTheme="minorHAnsi" w:cstheme="minorHAnsi"/>
          <w:sz w:val="18"/>
          <w:szCs w:val="18"/>
        </w:rPr>
      </w:pPr>
      <w:r w:rsidRPr="001D20C4">
        <w:rPr>
          <w:rStyle w:val="fontstyle01"/>
          <w:rFonts w:asciiTheme="minorHAnsi" w:hAnsiTheme="minorHAnsi" w:cstheme="minorHAnsi"/>
          <w:b w:val="0"/>
          <w:bCs w:val="0"/>
          <w:sz w:val="18"/>
          <w:szCs w:val="18"/>
        </w:rPr>
        <w:t>Computer aided toxicity and pharmacokinetic prediction studies attracted the attention of</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pharmaceutical industries as an alternative means to predict potential drug candidates. In</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 xml:space="preserve">the present study, </w:t>
      </w:r>
      <w:r w:rsidRPr="001D20C4">
        <w:rPr>
          <w:rStyle w:val="fontstyle21"/>
          <w:rFonts w:asciiTheme="minorHAnsi" w:hAnsiTheme="minorHAnsi" w:cstheme="minorHAnsi"/>
          <w:b w:val="0"/>
          <w:bCs w:val="0"/>
          <w:sz w:val="18"/>
          <w:szCs w:val="18"/>
        </w:rPr>
        <w:t xml:space="preserve">in-silico </w:t>
      </w:r>
      <w:r w:rsidRPr="001D20C4">
        <w:rPr>
          <w:rStyle w:val="fontstyle01"/>
          <w:rFonts w:asciiTheme="minorHAnsi" w:hAnsiTheme="minorHAnsi" w:cstheme="minorHAnsi"/>
          <w:b w:val="0"/>
          <w:bCs w:val="0"/>
          <w:sz w:val="18"/>
          <w:szCs w:val="18"/>
        </w:rPr>
        <w:t>pharmacokinetic properties (ADME), drug-likeness, toxicity profiles of sixteen antidiabetic flavonoids that have ideal bidentate chelating sites for metal ion</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coordination were examined using SwissADME, Pro Tox II, vNN and ADMETlab web tools.</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Density functional theory (DFT) calculations were also employed to calculate quantum</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chemical descriptors of the compounds. Molecular docking studies against human alpha</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amylase were also conducted. The results were compared with the control drugs, metformin</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and acarbose. The drug-likeness prediction results showed that all flavonoids, except myricetin, were found to obey Lipinski’s rule of five for their drug like molecular nature. Pharmacokinetically, chrysin, wogonin, genistein, baicalein, and apigenin showed best absorption</w:t>
      </w:r>
      <w:r w:rsidRPr="001D20C4">
        <w:rPr>
          <w:rFonts w:asciiTheme="minorHAnsi" w:hAnsiTheme="minorHAnsi" w:cstheme="minorHAnsi"/>
          <w:b w:val="0"/>
          <w:bCs w:val="0"/>
          <w:color w:val="000000"/>
          <w:sz w:val="18"/>
          <w:szCs w:val="18"/>
        </w:rPr>
        <w:br/>
      </w:r>
      <w:r w:rsidRPr="001D20C4">
        <w:rPr>
          <w:rStyle w:val="fontstyle01"/>
          <w:rFonts w:asciiTheme="minorHAnsi" w:hAnsiTheme="minorHAnsi" w:cstheme="minorHAnsi"/>
          <w:b w:val="0"/>
          <w:bCs w:val="0"/>
          <w:sz w:val="18"/>
          <w:szCs w:val="18"/>
        </w:rPr>
        <w:t xml:space="preserve">profile with human intestinal absorption (HIA) value of </w:t>
      </w:r>
      <w:r w:rsidRPr="001D20C4">
        <w:rPr>
          <w:rStyle w:val="fontstyle31"/>
          <w:rFonts w:ascii="Tahoma" w:hAnsi="Tahoma" w:cs="Tahoma"/>
          <w:b w:val="0"/>
          <w:bCs w:val="0"/>
          <w:sz w:val="18"/>
          <w:szCs w:val="18"/>
        </w:rPr>
        <w:t>�</w:t>
      </w:r>
      <w:r w:rsidRPr="001D20C4">
        <w:rPr>
          <w:rStyle w:val="fontstyle31"/>
          <w:rFonts w:asciiTheme="minorHAnsi" w:hAnsiTheme="minorHAnsi" w:cstheme="minorHAnsi"/>
          <w:b w:val="0"/>
          <w:bCs w:val="0"/>
          <w:sz w:val="18"/>
          <w:szCs w:val="18"/>
        </w:rPr>
        <w:t xml:space="preserve"> </w:t>
      </w:r>
      <w:r w:rsidRPr="001D20C4">
        <w:rPr>
          <w:rStyle w:val="fontstyle01"/>
          <w:rFonts w:asciiTheme="minorHAnsi" w:hAnsiTheme="minorHAnsi" w:cstheme="minorHAnsi"/>
          <w:b w:val="0"/>
          <w:bCs w:val="0"/>
          <w:sz w:val="18"/>
          <w:szCs w:val="18"/>
        </w:rPr>
        <w:t>30%, compared to the other flavonoids. Baicalein, butein, ellagic acid, eriodyctiol, Fisetin and quercetin were predicted to</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show carcinogenicity. The flavonoid derivatives considered in this study are predicted to be</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suitable molecules for CYP3A probes, except eriodyctiol which interacts with P-glycoprotein</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(p-gp). The toxicological endpoints prediction analysis showed that the median lethal dose</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(LD50) values range from 159–3919 mg/Kg, of which baicalein and quercetin are found to be</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mutagenic whereas butein is found to be the only immunotoxin. Molecular docking studies</w:t>
      </w:r>
      <w:r w:rsidRPr="001D20C4">
        <w:rPr>
          <w:rFonts w:asciiTheme="minorHAnsi" w:hAnsiTheme="minorHAnsi" w:cstheme="minorHAnsi"/>
          <w:b w:val="0"/>
          <w:bCs w:val="0"/>
          <w:color w:val="000000"/>
          <w:sz w:val="18"/>
          <w:szCs w:val="18"/>
        </w:rPr>
        <w:br/>
      </w:r>
      <w:r w:rsidRPr="001D20C4">
        <w:rPr>
          <w:rStyle w:val="fontstyle01"/>
          <w:rFonts w:asciiTheme="minorHAnsi" w:hAnsiTheme="minorHAnsi" w:cstheme="minorHAnsi"/>
          <w:b w:val="0"/>
          <w:bCs w:val="0"/>
          <w:sz w:val="18"/>
          <w:szCs w:val="18"/>
        </w:rPr>
        <w:t>showed that the significant interaction (-7.5 to -8.3 kcal/mol) of the studied molecules in the</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 xml:space="preserve">binding pocket of the </w:t>
      </w:r>
      <w:r w:rsidRPr="001D20C4">
        <w:rPr>
          <w:rStyle w:val="fontstyle41"/>
          <w:rFonts w:asciiTheme="minorHAnsi" w:hAnsiTheme="minorHAnsi" w:cstheme="minorHAnsi"/>
          <w:b w:val="0"/>
          <w:bCs w:val="0"/>
          <w:sz w:val="18"/>
          <w:szCs w:val="18"/>
        </w:rPr>
        <w:t>α</w:t>
      </w:r>
      <w:r w:rsidRPr="001D20C4">
        <w:rPr>
          <w:rStyle w:val="fontstyle01"/>
          <w:rFonts w:asciiTheme="minorHAnsi" w:hAnsiTheme="minorHAnsi" w:cstheme="minorHAnsi"/>
          <w:b w:val="0"/>
          <w:bCs w:val="0"/>
          <w:sz w:val="18"/>
          <w:szCs w:val="18"/>
        </w:rPr>
        <w:t>-amylase protein relative to the control metformin with the crucial</w:t>
      </w:r>
      <w:r w:rsidRPr="001D20C4">
        <w:rPr>
          <w:rFonts w:asciiTheme="minorHAnsi" w:hAnsiTheme="minorHAnsi" w:cstheme="minorHAnsi"/>
          <w:b w:val="0"/>
          <w:bCs w:val="0"/>
          <w:color w:val="000000"/>
          <w:sz w:val="18"/>
          <w:szCs w:val="18"/>
        </w:rPr>
        <w:br/>
      </w:r>
      <w:r w:rsidRPr="001D20C4">
        <w:rPr>
          <w:rStyle w:val="fontstyle01"/>
          <w:rFonts w:asciiTheme="minorHAnsi" w:hAnsiTheme="minorHAnsi" w:cstheme="minorHAnsi"/>
          <w:b w:val="0"/>
          <w:bCs w:val="0"/>
          <w:sz w:val="18"/>
          <w:szCs w:val="18"/>
        </w:rPr>
        <w:t>amino acids Asp 197, Glu 233, Asp 197, Glu 233, Trp 59, Tyr 62, His 101, Leu 162, Arg 195,</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His 299 and Leu 165. Chrysin was predicted to be a ligand with high absorption and lipophilicity with 84.6% absorption compared to metformin (78.3%). Moreover, quantum chemical,</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ADMET, drug-likeness and molecular docking profiles predicted that chrysin is a good</w:t>
      </w:r>
      <w:r>
        <w:rPr>
          <w:rFonts w:asciiTheme="minorHAnsi" w:hAnsiTheme="minorHAnsi" w:cstheme="minorHAnsi"/>
          <w:b w:val="0"/>
          <w:bCs w:val="0"/>
          <w:color w:val="000000"/>
          <w:sz w:val="18"/>
          <w:szCs w:val="18"/>
        </w:rPr>
        <w:t xml:space="preserve"> </w:t>
      </w:r>
      <w:r w:rsidRPr="001D20C4">
        <w:rPr>
          <w:rStyle w:val="fontstyle01"/>
          <w:rFonts w:asciiTheme="minorHAnsi" w:hAnsiTheme="minorHAnsi" w:cstheme="minorHAnsi"/>
          <w:b w:val="0"/>
          <w:bCs w:val="0"/>
          <w:sz w:val="18"/>
          <w:szCs w:val="18"/>
        </w:rPr>
        <w:t>bidentate ligand.</w:t>
      </w:r>
      <w:r w:rsidRPr="001D20C4">
        <w:rPr>
          <w:rFonts w:asciiTheme="minorHAnsi" w:hAnsiTheme="minorHAnsi" w:cstheme="minorHAnsi"/>
          <w:sz w:val="18"/>
          <w:szCs w:val="18"/>
        </w:rPr>
        <w:t xml:space="preserve"> </w:t>
      </w:r>
    </w:p>
    <w:p w14:paraId="78B35EDF" w14:textId="77777777" w:rsidR="007368F0" w:rsidRDefault="007368F0">
      <w:pPr>
        <w:pStyle w:val="Heading3"/>
        <w:spacing w:before="74"/>
        <w:rPr>
          <w:rFonts w:asciiTheme="minorHAnsi" w:hAnsiTheme="minorHAnsi" w:cstheme="minorHAnsi"/>
          <w:sz w:val="18"/>
          <w:szCs w:val="18"/>
        </w:rPr>
      </w:pPr>
    </w:p>
    <w:p w14:paraId="1C594B81" w14:textId="42E22507" w:rsidR="00AE3E37" w:rsidRDefault="00A9710C">
      <w:pPr>
        <w:pStyle w:val="Heading3"/>
        <w:spacing w:before="74"/>
      </w:pPr>
      <w:r>
        <w:rPr>
          <w:b w:val="0"/>
        </w:rPr>
        <w:br w:type="column"/>
      </w:r>
      <w:r>
        <w:rPr>
          <w:color w:val="BF5A14"/>
        </w:rPr>
        <w:t>Image</w:t>
      </w:r>
    </w:p>
    <w:p w14:paraId="28B2525B" w14:textId="798FBF6F" w:rsidR="00AE3E37" w:rsidRDefault="001D20C4">
      <w:pPr>
        <w:pStyle w:val="BodyText"/>
        <w:spacing w:before="2"/>
        <w:rPr>
          <w:rFonts w:ascii="Arial"/>
          <w:b/>
          <w:sz w:val="16"/>
        </w:rPr>
      </w:pPr>
      <w:r>
        <w:rPr>
          <w:noProof/>
        </w:rPr>
        <w:drawing>
          <wp:inline distT="0" distB="0" distL="0" distR="0" wp14:anchorId="5F757923" wp14:editId="02A11ADA">
            <wp:extent cx="3165475" cy="22034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203450"/>
                    </a:xfrm>
                    <a:prstGeom prst="rect">
                      <a:avLst/>
                    </a:prstGeom>
                  </pic:spPr>
                </pic:pic>
              </a:graphicData>
            </a:graphic>
          </wp:inline>
        </w:drawing>
      </w:r>
    </w:p>
    <w:p w14:paraId="1AB005E8" w14:textId="09512E30" w:rsidR="001D20C4" w:rsidRDefault="001D20C4">
      <w:pPr>
        <w:pStyle w:val="BodyText"/>
        <w:spacing w:before="2"/>
        <w:rPr>
          <w:rFonts w:ascii="Arial"/>
          <w:b/>
          <w:sz w:val="16"/>
        </w:rPr>
      </w:pPr>
      <w:r>
        <w:rPr>
          <w:rFonts w:ascii="Arial"/>
          <w:b/>
          <w:sz w:val="16"/>
        </w:rPr>
        <w:t>Graphical representation of the entire work</w:t>
      </w:r>
    </w:p>
    <w:p w14:paraId="5C0E334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A05F95D" w14:textId="77777777" w:rsidR="001D20C4" w:rsidRPr="001D20C4" w:rsidRDefault="001D20C4" w:rsidP="001D20C4">
      <w:pPr>
        <w:autoSpaceDE w:val="0"/>
        <w:autoSpaceDN w:val="0"/>
        <w:spacing w:before="42" w:line="360" w:lineRule="auto"/>
        <w:ind w:right="241"/>
        <w:rPr>
          <w:rFonts w:asciiTheme="minorHAnsi" w:hAnsiTheme="minorHAnsi" w:cstheme="minorHAnsi"/>
          <w:spacing w:val="11"/>
          <w:sz w:val="18"/>
          <w:szCs w:val="18"/>
        </w:rPr>
      </w:pPr>
      <w:r w:rsidRPr="001D20C4">
        <w:rPr>
          <w:rFonts w:asciiTheme="minorHAnsi" w:hAnsiTheme="minorHAnsi" w:cstheme="minorHAnsi"/>
          <w:color w:val="333333"/>
          <w:sz w:val="18"/>
          <w:szCs w:val="18"/>
          <w:shd w:val="clear" w:color="auto" w:fill="FFFFFF"/>
        </w:rPr>
        <w:t xml:space="preserve">Lemilemu, F., </w:t>
      </w:r>
      <w:r w:rsidRPr="001D20C4">
        <w:rPr>
          <w:rFonts w:asciiTheme="minorHAnsi" w:hAnsiTheme="minorHAnsi" w:cstheme="minorHAnsi"/>
          <w:b/>
          <w:bCs/>
          <w:color w:val="333333"/>
          <w:sz w:val="18"/>
          <w:szCs w:val="18"/>
          <w:shd w:val="clear" w:color="auto" w:fill="FFFFFF"/>
        </w:rPr>
        <w:t>Bitew, M</w:t>
      </w:r>
      <w:r w:rsidRPr="001D20C4">
        <w:rPr>
          <w:rFonts w:asciiTheme="minorHAnsi" w:hAnsiTheme="minorHAnsi" w:cstheme="minorHAnsi"/>
          <w:color w:val="333333"/>
          <w:sz w:val="18"/>
          <w:szCs w:val="18"/>
          <w:shd w:val="clear" w:color="auto" w:fill="FFFFFF"/>
        </w:rPr>
        <w:t>., Demissie, T.B. </w:t>
      </w:r>
      <w:r w:rsidRPr="001D20C4">
        <w:rPr>
          <w:rFonts w:asciiTheme="minorHAnsi" w:hAnsiTheme="minorHAnsi" w:cstheme="minorHAnsi"/>
          <w:i/>
          <w:iCs/>
          <w:color w:val="333333"/>
          <w:sz w:val="18"/>
          <w:szCs w:val="18"/>
          <w:shd w:val="clear" w:color="auto" w:fill="FFFFFF"/>
        </w:rPr>
        <w:t>et al.</w:t>
      </w:r>
      <w:r w:rsidRPr="001D20C4">
        <w:rPr>
          <w:rFonts w:asciiTheme="minorHAnsi" w:hAnsiTheme="minorHAnsi" w:cstheme="minorHAnsi"/>
          <w:color w:val="333333"/>
          <w:sz w:val="18"/>
          <w:szCs w:val="18"/>
          <w:shd w:val="clear" w:color="auto" w:fill="FFFFFF"/>
        </w:rPr>
        <w:t> Synthesis, antibacterial and antioxidant activities of Thiazole-based Schiff base derivatives: a combined experimental and computational study. </w:t>
      </w:r>
      <w:r w:rsidRPr="001D20C4">
        <w:rPr>
          <w:rFonts w:asciiTheme="minorHAnsi" w:hAnsiTheme="minorHAnsi" w:cstheme="minorHAnsi"/>
          <w:i/>
          <w:iCs/>
          <w:color w:val="333333"/>
          <w:sz w:val="18"/>
          <w:szCs w:val="18"/>
          <w:shd w:val="clear" w:color="auto" w:fill="FFFFFF"/>
        </w:rPr>
        <w:t>BMC Chemistry</w:t>
      </w:r>
      <w:r w:rsidRPr="001D20C4">
        <w:rPr>
          <w:rFonts w:asciiTheme="minorHAnsi" w:hAnsiTheme="minorHAnsi" w:cstheme="minorHAnsi"/>
          <w:color w:val="333333"/>
          <w:sz w:val="18"/>
          <w:szCs w:val="18"/>
          <w:shd w:val="clear" w:color="auto" w:fill="FFFFFF"/>
        </w:rPr>
        <w:t> </w:t>
      </w:r>
      <w:r w:rsidRPr="001D20C4">
        <w:rPr>
          <w:rFonts w:asciiTheme="minorHAnsi" w:hAnsiTheme="minorHAnsi" w:cstheme="minorHAnsi"/>
          <w:b/>
          <w:bCs/>
          <w:color w:val="333333"/>
          <w:sz w:val="18"/>
          <w:szCs w:val="18"/>
          <w:shd w:val="clear" w:color="auto" w:fill="FFFFFF"/>
        </w:rPr>
        <w:t>15, </w:t>
      </w:r>
      <w:r w:rsidRPr="001D20C4">
        <w:rPr>
          <w:rFonts w:asciiTheme="minorHAnsi" w:hAnsiTheme="minorHAnsi" w:cstheme="minorHAnsi"/>
          <w:color w:val="333333"/>
          <w:sz w:val="18"/>
          <w:szCs w:val="18"/>
          <w:shd w:val="clear" w:color="auto" w:fill="FFFFFF"/>
        </w:rPr>
        <w:t>67 (2021).</w:t>
      </w:r>
      <w:r w:rsidRPr="001D20C4">
        <w:rPr>
          <w:rFonts w:asciiTheme="minorHAnsi" w:hAnsiTheme="minorHAnsi" w:cstheme="minorHAnsi"/>
          <w:spacing w:val="11"/>
          <w:sz w:val="18"/>
          <w:szCs w:val="18"/>
        </w:rPr>
        <w:t xml:space="preserve"> </w:t>
      </w:r>
    </w:p>
    <w:p w14:paraId="223C1F75" w14:textId="77777777" w:rsidR="001D20C4" w:rsidRPr="001D20C4" w:rsidRDefault="001D20C4" w:rsidP="001D20C4">
      <w:pPr>
        <w:autoSpaceDE w:val="0"/>
        <w:autoSpaceDN w:val="0"/>
        <w:spacing w:before="42" w:line="360" w:lineRule="auto"/>
        <w:ind w:right="241"/>
        <w:rPr>
          <w:rFonts w:asciiTheme="minorHAnsi" w:hAnsiTheme="minorHAnsi" w:cstheme="minorHAnsi"/>
          <w:spacing w:val="11"/>
          <w:sz w:val="18"/>
          <w:szCs w:val="18"/>
        </w:rPr>
      </w:pPr>
      <w:r w:rsidRPr="001D20C4">
        <w:rPr>
          <w:rFonts w:asciiTheme="minorHAnsi" w:hAnsiTheme="minorHAnsi" w:cstheme="minorHAnsi"/>
          <w:b/>
          <w:bCs/>
          <w:color w:val="222222"/>
          <w:sz w:val="18"/>
          <w:szCs w:val="18"/>
          <w:shd w:val="clear" w:color="auto" w:fill="FFFFFF"/>
        </w:rPr>
        <w:t>Bitew, M</w:t>
      </w:r>
      <w:r w:rsidRPr="001D20C4">
        <w:rPr>
          <w:rFonts w:asciiTheme="minorHAnsi" w:hAnsiTheme="minorHAnsi" w:cstheme="minorHAnsi"/>
          <w:color w:val="222222"/>
          <w:sz w:val="18"/>
          <w:szCs w:val="18"/>
          <w:shd w:val="clear" w:color="auto" w:fill="FFFFFF"/>
        </w:rPr>
        <w:t>., Desalegn, T., Demissie, T.B., Belayneh, A., Endale, M. and Eswaramoorthy, R., 2021. Pharmacokinetics and drug-likeness of antidiabetic flavonoids: Molecular docking and DFT study. </w:t>
      </w:r>
      <w:r w:rsidRPr="001D20C4">
        <w:rPr>
          <w:rFonts w:asciiTheme="minorHAnsi" w:hAnsiTheme="minorHAnsi" w:cstheme="minorHAnsi"/>
          <w:i/>
          <w:iCs/>
          <w:color w:val="222222"/>
          <w:sz w:val="18"/>
          <w:szCs w:val="18"/>
          <w:shd w:val="clear" w:color="auto" w:fill="FFFFFF"/>
        </w:rPr>
        <w:t>Plos one</w:t>
      </w:r>
      <w:r w:rsidRPr="001D20C4">
        <w:rPr>
          <w:rFonts w:asciiTheme="minorHAnsi" w:hAnsiTheme="minorHAnsi" w:cstheme="minorHAnsi"/>
          <w:color w:val="222222"/>
          <w:sz w:val="18"/>
          <w:szCs w:val="18"/>
          <w:shd w:val="clear" w:color="auto" w:fill="FFFFFF"/>
        </w:rPr>
        <w:t>, </w:t>
      </w:r>
      <w:r w:rsidRPr="001D20C4">
        <w:rPr>
          <w:rFonts w:asciiTheme="minorHAnsi" w:hAnsiTheme="minorHAnsi" w:cstheme="minorHAnsi"/>
          <w:b/>
          <w:bCs/>
          <w:i/>
          <w:iCs/>
          <w:color w:val="222222"/>
          <w:sz w:val="18"/>
          <w:szCs w:val="18"/>
          <w:shd w:val="clear" w:color="auto" w:fill="FFFFFF"/>
        </w:rPr>
        <w:t>16</w:t>
      </w:r>
      <w:r w:rsidRPr="001D20C4">
        <w:rPr>
          <w:rFonts w:asciiTheme="minorHAnsi" w:hAnsiTheme="minorHAnsi" w:cstheme="minorHAnsi"/>
          <w:color w:val="222222"/>
          <w:sz w:val="18"/>
          <w:szCs w:val="18"/>
          <w:shd w:val="clear" w:color="auto" w:fill="FFFFFF"/>
        </w:rPr>
        <w:t xml:space="preserve">, 12 (2021). </w:t>
      </w:r>
    </w:p>
    <w:p w14:paraId="778F8798" w14:textId="77777777" w:rsidR="001D20C4" w:rsidRPr="001D20C4" w:rsidRDefault="001D20C4" w:rsidP="001D20C4">
      <w:pPr>
        <w:autoSpaceDE w:val="0"/>
        <w:autoSpaceDN w:val="0"/>
        <w:spacing w:before="42" w:line="360" w:lineRule="auto"/>
        <w:ind w:right="241"/>
        <w:rPr>
          <w:rFonts w:asciiTheme="minorHAnsi" w:hAnsiTheme="minorHAnsi" w:cstheme="minorHAnsi"/>
          <w:spacing w:val="11"/>
          <w:sz w:val="18"/>
          <w:szCs w:val="18"/>
        </w:rPr>
      </w:pPr>
      <w:r w:rsidRPr="001D20C4">
        <w:rPr>
          <w:rFonts w:asciiTheme="minorHAnsi" w:hAnsiTheme="minorHAnsi" w:cstheme="minorHAnsi"/>
          <w:color w:val="222222"/>
          <w:sz w:val="18"/>
          <w:szCs w:val="18"/>
          <w:shd w:val="clear" w:color="auto" w:fill="FFFFFF"/>
        </w:rPr>
        <w:t xml:space="preserve">Derbe, T., Temesgen, S. and </w:t>
      </w:r>
      <w:r w:rsidRPr="001D20C4">
        <w:rPr>
          <w:rFonts w:asciiTheme="minorHAnsi" w:hAnsiTheme="minorHAnsi" w:cstheme="minorHAnsi"/>
          <w:b/>
          <w:bCs/>
          <w:color w:val="222222"/>
          <w:sz w:val="18"/>
          <w:szCs w:val="18"/>
          <w:shd w:val="clear" w:color="auto" w:fill="FFFFFF"/>
        </w:rPr>
        <w:t>Bitew, M</w:t>
      </w:r>
      <w:r w:rsidRPr="001D20C4">
        <w:rPr>
          <w:rFonts w:asciiTheme="minorHAnsi" w:hAnsiTheme="minorHAnsi" w:cstheme="minorHAnsi"/>
          <w:color w:val="222222"/>
          <w:sz w:val="18"/>
          <w:szCs w:val="18"/>
          <w:shd w:val="clear" w:color="auto" w:fill="FFFFFF"/>
        </w:rPr>
        <w:t>., 2021. A Short Review on Synthesis, Characterization, and Applications of Zeolites. </w:t>
      </w:r>
      <w:r w:rsidRPr="001D20C4">
        <w:rPr>
          <w:rFonts w:asciiTheme="minorHAnsi" w:hAnsiTheme="minorHAnsi" w:cstheme="minorHAnsi"/>
          <w:i/>
          <w:iCs/>
          <w:color w:val="222222"/>
          <w:sz w:val="18"/>
          <w:szCs w:val="18"/>
          <w:shd w:val="clear" w:color="auto" w:fill="FFFFFF"/>
        </w:rPr>
        <w:t>Advances in Materials Science and Engineering</w:t>
      </w:r>
      <w:r w:rsidRPr="001D20C4">
        <w:rPr>
          <w:rFonts w:asciiTheme="minorHAnsi" w:hAnsiTheme="minorHAnsi" w:cstheme="minorHAnsi"/>
          <w:color w:val="222222"/>
          <w:sz w:val="18"/>
          <w:szCs w:val="18"/>
          <w:shd w:val="clear" w:color="auto" w:fill="FFFFFF"/>
        </w:rPr>
        <w:t>, </w:t>
      </w:r>
      <w:r w:rsidRPr="001D20C4">
        <w:rPr>
          <w:rFonts w:asciiTheme="minorHAnsi" w:hAnsiTheme="minorHAnsi" w:cstheme="minorHAnsi"/>
          <w:i/>
          <w:iCs/>
          <w:color w:val="222222"/>
          <w:sz w:val="18"/>
          <w:szCs w:val="18"/>
          <w:shd w:val="clear" w:color="auto" w:fill="FFFFFF"/>
        </w:rPr>
        <w:t>2021</w:t>
      </w:r>
      <w:r w:rsidRPr="001D20C4">
        <w:rPr>
          <w:rFonts w:asciiTheme="minorHAnsi" w:hAnsiTheme="minorHAnsi" w:cstheme="minorHAnsi"/>
          <w:color w:val="222222"/>
          <w:sz w:val="18"/>
          <w:szCs w:val="18"/>
          <w:shd w:val="clear" w:color="auto" w:fill="FFFFFF"/>
        </w:rPr>
        <w:t>.</w:t>
      </w:r>
    </w:p>
    <w:p w14:paraId="5851C5FB" w14:textId="77777777" w:rsidR="001D20C4" w:rsidRPr="001D20C4" w:rsidRDefault="001D20C4" w:rsidP="001D20C4">
      <w:pPr>
        <w:autoSpaceDE w:val="0"/>
        <w:autoSpaceDN w:val="0"/>
        <w:spacing w:before="42" w:line="360" w:lineRule="auto"/>
        <w:ind w:right="241"/>
        <w:rPr>
          <w:rFonts w:asciiTheme="minorHAnsi" w:hAnsiTheme="minorHAnsi" w:cstheme="minorHAnsi"/>
          <w:spacing w:val="11"/>
          <w:sz w:val="18"/>
          <w:szCs w:val="18"/>
        </w:rPr>
      </w:pPr>
      <w:r w:rsidRPr="001D20C4">
        <w:rPr>
          <w:rFonts w:asciiTheme="minorHAnsi" w:hAnsiTheme="minorHAnsi" w:cstheme="minorHAnsi"/>
          <w:b/>
          <w:bCs/>
          <w:color w:val="222222"/>
          <w:sz w:val="18"/>
          <w:szCs w:val="18"/>
          <w:shd w:val="clear" w:color="auto" w:fill="FFFFFF"/>
        </w:rPr>
        <w:t>Alem, M.B</w:t>
      </w:r>
      <w:r w:rsidRPr="001D20C4">
        <w:rPr>
          <w:rFonts w:asciiTheme="minorHAnsi" w:hAnsiTheme="minorHAnsi" w:cstheme="minorHAnsi"/>
          <w:color w:val="222222"/>
          <w:sz w:val="18"/>
          <w:szCs w:val="18"/>
          <w:shd w:val="clear" w:color="auto" w:fill="FFFFFF"/>
        </w:rPr>
        <w:t>. and Ayele, Y.B., 2018. Modeling the Transition State Structures of the Reductive-Half Reaction Active Site of Xanthine Oxidase Bound to Guanine Analogues: A Density Functional Theory Approach. </w:t>
      </w:r>
      <w:r w:rsidRPr="001D20C4">
        <w:rPr>
          <w:rFonts w:asciiTheme="minorHAnsi" w:hAnsiTheme="minorHAnsi" w:cstheme="minorHAnsi"/>
          <w:i/>
          <w:iCs/>
          <w:color w:val="222222"/>
          <w:sz w:val="18"/>
          <w:szCs w:val="18"/>
          <w:shd w:val="clear" w:color="auto" w:fill="FFFFFF"/>
        </w:rPr>
        <w:t>International Journal of Chemistry</w:t>
      </w:r>
      <w:r w:rsidRPr="001D20C4">
        <w:rPr>
          <w:rFonts w:asciiTheme="minorHAnsi" w:hAnsiTheme="minorHAnsi" w:cstheme="minorHAnsi"/>
          <w:color w:val="222222"/>
          <w:sz w:val="18"/>
          <w:szCs w:val="18"/>
          <w:shd w:val="clear" w:color="auto" w:fill="FFFFFF"/>
        </w:rPr>
        <w:t>, </w:t>
      </w:r>
      <w:r w:rsidRPr="001D20C4">
        <w:rPr>
          <w:rFonts w:asciiTheme="minorHAnsi" w:hAnsiTheme="minorHAnsi" w:cstheme="minorHAnsi"/>
          <w:i/>
          <w:iCs/>
          <w:color w:val="222222"/>
          <w:sz w:val="18"/>
          <w:szCs w:val="18"/>
          <w:shd w:val="clear" w:color="auto" w:fill="FFFFFF"/>
        </w:rPr>
        <w:t>10</w:t>
      </w:r>
      <w:r w:rsidRPr="001D20C4">
        <w:rPr>
          <w:rFonts w:asciiTheme="minorHAnsi" w:hAnsiTheme="minorHAnsi" w:cstheme="minorHAnsi"/>
          <w:color w:val="222222"/>
          <w:sz w:val="18"/>
          <w:szCs w:val="18"/>
          <w:shd w:val="clear" w:color="auto" w:fill="FFFFFF"/>
        </w:rPr>
        <w:t>(1), pp.137-152.</w:t>
      </w:r>
      <w:r w:rsidRPr="001D20C4">
        <w:rPr>
          <w:rFonts w:asciiTheme="minorHAnsi" w:hAnsiTheme="minorHAnsi" w:cstheme="minorHAnsi"/>
          <w:sz w:val="18"/>
          <w:szCs w:val="18"/>
        </w:rPr>
        <w:t xml:space="preserve"> </w:t>
      </w:r>
    </w:p>
    <w:p w14:paraId="54252073" w14:textId="77777777" w:rsidR="001D20C4" w:rsidRPr="001D20C4" w:rsidRDefault="001D20C4" w:rsidP="001D20C4">
      <w:pPr>
        <w:pStyle w:val="BodyText"/>
        <w:autoSpaceDE w:val="0"/>
        <w:autoSpaceDN w:val="0"/>
        <w:spacing w:line="360" w:lineRule="auto"/>
        <w:ind w:right="244"/>
        <w:rPr>
          <w:rFonts w:asciiTheme="minorHAnsi" w:hAnsiTheme="minorHAnsi" w:cstheme="minorHAnsi"/>
        </w:rPr>
      </w:pPr>
      <w:r w:rsidRPr="001D20C4">
        <w:rPr>
          <w:rFonts w:asciiTheme="minorHAnsi" w:hAnsiTheme="minorHAnsi" w:cstheme="minorHAnsi"/>
          <w:b/>
          <w:bCs/>
          <w:color w:val="222222"/>
          <w:shd w:val="clear" w:color="auto" w:fill="FFFFFF"/>
        </w:rPr>
        <w:t>Alem, Mamaru Bitew</w:t>
      </w:r>
      <w:r w:rsidRPr="001D20C4">
        <w:rPr>
          <w:rFonts w:asciiTheme="minorHAnsi" w:hAnsiTheme="minorHAnsi" w:cstheme="minorHAnsi"/>
          <w:color w:val="222222"/>
          <w:shd w:val="clear" w:color="auto" w:fill="FFFFFF"/>
        </w:rPr>
        <w:t>. Probing the mechanism of xanthine oxidase and 2-amino xanthine: an implication of energy, charge bond order and wave function. (2018).</w:t>
      </w:r>
      <w:r w:rsidRPr="001D20C4">
        <w:rPr>
          <w:rFonts w:asciiTheme="minorHAnsi" w:hAnsiTheme="minorHAnsi" w:cstheme="minorHAnsi"/>
        </w:rPr>
        <w:t xml:space="preserve"> </w:t>
      </w:r>
    </w:p>
    <w:p w14:paraId="6FBA3C0A" w14:textId="0C9B3F06" w:rsidR="00AE3E37" w:rsidRPr="007368F0" w:rsidRDefault="001D20C4" w:rsidP="007368F0">
      <w:pPr>
        <w:pStyle w:val="BodyText"/>
        <w:autoSpaceDE w:val="0"/>
        <w:autoSpaceDN w:val="0"/>
        <w:spacing w:line="360" w:lineRule="auto"/>
        <w:ind w:right="244"/>
        <w:jc w:val="both"/>
        <w:rPr>
          <w:rFonts w:asciiTheme="minorHAnsi" w:hAnsiTheme="minorHAnsi" w:cstheme="minorHAnsi"/>
        </w:rPr>
        <w:sectPr w:rsidR="00AE3E37" w:rsidRPr="007368F0">
          <w:type w:val="continuous"/>
          <w:pgSz w:w="11910" w:h="16840"/>
          <w:pgMar w:top="1740" w:right="600" w:bottom="840" w:left="620" w:header="720" w:footer="720" w:gutter="0"/>
          <w:cols w:num="2" w:space="720" w:equalWidth="0">
            <w:col w:w="5214" w:space="138"/>
            <w:col w:w="5338"/>
          </w:cols>
        </w:sectPr>
      </w:pPr>
      <w:r w:rsidRPr="001D20C4">
        <w:rPr>
          <w:rFonts w:asciiTheme="minorHAnsi" w:hAnsiTheme="minorHAnsi" w:cstheme="minorHAnsi"/>
          <w:b/>
          <w:bCs/>
          <w:color w:val="222222"/>
          <w:shd w:val="clear" w:color="auto" w:fill="FFFFFF"/>
        </w:rPr>
        <w:t>Alem, Mamaru Bitew</w:t>
      </w:r>
      <w:r w:rsidRPr="001D20C4">
        <w:rPr>
          <w:rFonts w:asciiTheme="minorHAnsi" w:hAnsiTheme="minorHAnsi" w:cstheme="minorHAnsi"/>
          <w:color w:val="222222"/>
          <w:shd w:val="clear" w:color="auto" w:fill="FFFFFF"/>
        </w:rPr>
        <w:t>. Identification of the Most Stable Guanine Tautomer for Hydroxylation Reaction Mechanism Studies using DFT Calculations. </w:t>
      </w:r>
      <w:r w:rsidRPr="001D20C4">
        <w:rPr>
          <w:rFonts w:asciiTheme="minorHAnsi" w:hAnsiTheme="minorHAnsi" w:cstheme="minorHAnsi"/>
          <w:i/>
          <w:iCs/>
          <w:color w:val="222222"/>
          <w:shd w:val="clear" w:color="auto" w:fill="FFFFFF"/>
        </w:rPr>
        <w:t>International Journal of Chemical Synthesis and Chemical Reactions</w:t>
      </w:r>
      <w:r w:rsidRPr="001D20C4">
        <w:rPr>
          <w:rFonts w:asciiTheme="minorHAnsi" w:hAnsiTheme="minorHAnsi" w:cstheme="minorHAnsi"/>
          <w:color w:val="222222"/>
          <w:shd w:val="clear" w:color="auto" w:fill="FFFFFF"/>
        </w:rPr>
        <w:t> 4, no. 1 (2018): 11-20.</w:t>
      </w:r>
      <w:r w:rsidRPr="001D20C4">
        <w:rPr>
          <w:rFonts w:asciiTheme="minorHAnsi" w:hAnsiTheme="minorHAnsi" w:cstheme="minorHAnsi"/>
        </w:rPr>
        <w:t xml:space="preserve"> </w:t>
      </w:r>
    </w:p>
    <w:p w14:paraId="569E3E6C" w14:textId="4D428954" w:rsidR="00AE3E37" w:rsidRPr="00D62425" w:rsidRDefault="00D62425">
      <w:pPr>
        <w:pStyle w:val="BodyText"/>
        <w:rPr>
          <w:rFonts w:ascii="Calibri"/>
          <w:b/>
          <w:sz w:val="20"/>
        </w:rPr>
      </w:pPr>
      <w:r w:rsidRPr="00D62425">
        <w:rPr>
          <w:rFonts w:ascii="Calibri"/>
          <w:b/>
          <w:sz w:val="20"/>
        </w:rPr>
        <w:t>Photograph</w:t>
      </w:r>
    </w:p>
    <w:p w14:paraId="0FCD999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911224" wp14:editId="4271F0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9114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D890B78" w14:textId="4E999868" w:rsidR="00AE3E37" w:rsidRDefault="008756E6" w:rsidP="00404E5B">
      <w:pPr>
        <w:spacing w:before="92"/>
        <w:ind w:right="4234"/>
        <w:rPr>
          <w:rFonts w:ascii="Arial"/>
        </w:rPr>
      </w:pPr>
      <w:r>
        <w:rPr>
          <w:noProof/>
        </w:rPr>
        <w:lastRenderedPageBreak/>
        <w:t xml:space="preserve">              </w:t>
      </w:r>
      <w:r w:rsidR="00666E05">
        <w:rPr>
          <w:rFonts w:ascii="Arial"/>
          <w:noProof/>
          <w:color w:val="BF5A14"/>
        </w:rPr>
        <w:drawing>
          <wp:inline distT="0" distB="0" distL="0" distR="0" wp14:anchorId="7578B002" wp14:editId="5E65B38E">
            <wp:extent cx="723900" cy="8808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9537" cy="88766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6D89D27B" w14:textId="0B3193CE" w:rsidR="00AE3E37" w:rsidRDefault="00666E05">
      <w:pPr>
        <w:spacing w:before="41" w:line="154" w:lineRule="exact"/>
        <w:ind w:left="213" w:right="231"/>
        <w:jc w:val="both"/>
        <w:rPr>
          <w:rFonts w:ascii="Arial"/>
          <w:sz w:val="14"/>
        </w:rPr>
      </w:pPr>
      <w:r>
        <w:rPr>
          <w:rFonts w:ascii="Arial"/>
          <w:sz w:val="14"/>
        </w:rPr>
        <w:t>I am Mamaru Bitew Alem. I was born in 1989 in a small village called Woga Mariam in Amhara regional state, Ethiopia</w:t>
      </w:r>
      <w:r w:rsidR="00A9710C">
        <w:rPr>
          <w:rFonts w:ascii="Arial"/>
          <w:sz w:val="14"/>
        </w:rPr>
        <w:t>.</w:t>
      </w:r>
      <w:r>
        <w:rPr>
          <w:rFonts w:ascii="Arial"/>
          <w:sz w:val="14"/>
        </w:rPr>
        <w:t xml:space="preserve"> I grow as many Ethiopians and join school at the age of 7. I obtained my BSc degree in Chemistry from Samara University, Ethiopia, in 2011 and MSc in Inorganic Chemistry from Arba Minch University, </w:t>
      </w:r>
      <w:r w:rsidR="007368F0">
        <w:rPr>
          <w:rFonts w:ascii="Arial"/>
          <w:sz w:val="14"/>
        </w:rPr>
        <w:t xml:space="preserve">2013, Ethiopia. Now, I am working on my laboratory works for my PhD research in Adama Science and technology University. My research focus is developing a novel metal-therapeutic using a combined experimental and  computational tools. </w:t>
      </w:r>
    </w:p>
    <w:p w14:paraId="5B5CBB5B" w14:textId="24D0F019" w:rsidR="00AE3E37" w:rsidRDefault="00A9710C">
      <w:pPr>
        <w:spacing w:before="62"/>
        <w:ind w:left="4217" w:right="4235"/>
        <w:jc w:val="center"/>
        <w:rPr>
          <w:rFonts w:ascii="Arial"/>
          <w:sz w:val="14"/>
        </w:rPr>
      </w:pPr>
      <w:r>
        <w:rPr>
          <w:rFonts w:ascii="Arial"/>
          <w:sz w:val="14"/>
        </w:rPr>
        <w:t xml:space="preserve">Email: </w:t>
      </w:r>
      <w:hyperlink r:id="rId11" w:history="1">
        <w:r w:rsidR="007368F0" w:rsidRPr="000249AD">
          <w:rPr>
            <w:rStyle w:val="Hyperlink"/>
            <w:rFonts w:ascii="Arial"/>
            <w:sz w:val="14"/>
          </w:rPr>
          <w:t>mamaru2005@gmail.com</w:t>
        </w:r>
      </w:hyperlink>
      <w:r w:rsidR="007368F0">
        <w:rPr>
          <w:rStyle w:val="Hyperlink"/>
          <w:rFonts w:ascii="Arial"/>
          <w:sz w:val="14"/>
        </w:rPr>
        <w:t xml:space="preserve"> </w:t>
      </w:r>
    </w:p>
    <w:p w14:paraId="0F8C89D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753358B" wp14:editId="7E3A155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44F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D91F480" w14:textId="77777777" w:rsidR="00AE3E37" w:rsidRDefault="00AE3E37">
      <w:pPr>
        <w:pStyle w:val="BodyText"/>
        <w:rPr>
          <w:rFonts w:ascii="Arial"/>
          <w:sz w:val="20"/>
        </w:rPr>
      </w:pPr>
    </w:p>
    <w:p w14:paraId="035D86BB" w14:textId="77777777" w:rsidR="00AE3E37" w:rsidRDefault="00AE3E37">
      <w:pPr>
        <w:pStyle w:val="BodyText"/>
        <w:rPr>
          <w:rFonts w:ascii="Arial"/>
          <w:sz w:val="20"/>
        </w:rPr>
      </w:pPr>
    </w:p>
    <w:p w14:paraId="36065833" w14:textId="77777777" w:rsidR="00AE3E37" w:rsidRDefault="00AE3E37">
      <w:pPr>
        <w:pStyle w:val="BodyText"/>
        <w:spacing w:before="7"/>
        <w:rPr>
          <w:rFonts w:ascii="Arial"/>
          <w:sz w:val="29"/>
        </w:rPr>
      </w:pPr>
    </w:p>
    <w:p w14:paraId="2C727312" w14:textId="77777777" w:rsidR="00AE3E37" w:rsidRPr="00B21A57" w:rsidRDefault="00A9710C">
      <w:pPr>
        <w:spacing w:before="39"/>
        <w:ind w:left="100"/>
        <w:rPr>
          <w:rFonts w:ascii="Minion Pro"/>
          <w:b/>
          <w:sz w:val="20"/>
        </w:rPr>
      </w:pPr>
      <w:r w:rsidRPr="00B21A57">
        <w:rPr>
          <w:rFonts w:ascii="Minion Pro"/>
          <w:b/>
          <w:sz w:val="20"/>
        </w:rPr>
        <w:t>Notes/Comments:</w:t>
      </w:r>
    </w:p>
    <w:p w14:paraId="3DB54B8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F1EAF7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2929E" w14:textId="77777777" w:rsidR="008459A9" w:rsidRDefault="008459A9">
      <w:r>
        <w:separator/>
      </w:r>
    </w:p>
  </w:endnote>
  <w:endnote w:type="continuationSeparator" w:id="0">
    <w:p w14:paraId="5D68F098" w14:textId="77777777" w:rsidR="008459A9" w:rsidRDefault="0084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Helvetica-Oblique">
    <w:altName w:val="Arial"/>
    <w:panose1 w:val="00000000000000000000"/>
    <w:charset w:val="00"/>
    <w:family w:val="roman"/>
    <w:notTrueType/>
    <w:pitch w:val="default"/>
  </w:font>
  <w:font w:name="TeX_CM_Maths_Symbols">
    <w:altName w:val="Cambria"/>
    <w:panose1 w:val="00000000000000000000"/>
    <w:charset w:val="00"/>
    <w:family w:val="roman"/>
    <w:notTrueType/>
    <w:pitch w:val="default"/>
  </w:font>
  <w:font w:name="ArialMT">
    <w:panose1 w:val="00000000000000000000"/>
    <w:charset w:val="00"/>
    <w:family w:val="roman"/>
    <w:notTrueType/>
    <w:pitch w:val="default"/>
  </w:font>
  <w:font w:name="OpenSans">
    <w:altName w:val="Cambri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6F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D161E0" wp14:editId="6BA495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8F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94244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16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528F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94244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412F778" wp14:editId="06AC79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4B53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C8C8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2F77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FA4B53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C8C8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1CF6ACC" wp14:editId="2D40CF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B2C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31A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F6AC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8AB2C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31A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E77AD" w14:textId="77777777" w:rsidR="008459A9" w:rsidRDefault="008459A9">
      <w:r>
        <w:separator/>
      </w:r>
    </w:p>
  </w:footnote>
  <w:footnote w:type="continuationSeparator" w:id="0">
    <w:p w14:paraId="18136F84" w14:textId="77777777" w:rsidR="008459A9" w:rsidRDefault="00845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E3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6EA0370" wp14:editId="1A92CA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1C8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A037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A71C8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C7963F9" wp14:editId="27FD05B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AC7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6124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963F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7CAC7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6124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alt="*" style="width:9pt;height:9pt;visibility:visible" o:bullet="t">
        <v:imagedata r:id="rId1" o:title="*"/>
      </v:shape>
    </w:pict>
  </w:numPicBullet>
  <w:abstractNum w:abstractNumId="0" w15:restartNumberingAfterBreak="0">
    <w:nsid w:val="1988324F"/>
    <w:multiLevelType w:val="hybridMultilevel"/>
    <w:tmpl w:val="8E142EAE"/>
    <w:lvl w:ilvl="0" w:tplc="3AAAE27A">
      <w:start w:val="1"/>
      <w:numFmt w:val="bullet"/>
      <w:lvlText w:val=""/>
      <w:lvlPicBulletId w:val="0"/>
      <w:lvlJc w:val="left"/>
      <w:pPr>
        <w:tabs>
          <w:tab w:val="num" w:pos="1350"/>
        </w:tabs>
        <w:ind w:left="1350" w:hanging="360"/>
      </w:pPr>
      <w:rPr>
        <w:rFonts w:ascii="Symbol" w:hAnsi="Symbol" w:hint="default"/>
      </w:rPr>
    </w:lvl>
    <w:lvl w:ilvl="1" w:tplc="EE281652" w:tentative="1">
      <w:start w:val="1"/>
      <w:numFmt w:val="bullet"/>
      <w:lvlText w:val=""/>
      <w:lvlJc w:val="left"/>
      <w:pPr>
        <w:tabs>
          <w:tab w:val="num" w:pos="2070"/>
        </w:tabs>
        <w:ind w:left="2070" w:hanging="360"/>
      </w:pPr>
      <w:rPr>
        <w:rFonts w:ascii="Symbol" w:hAnsi="Symbol" w:hint="default"/>
      </w:rPr>
    </w:lvl>
    <w:lvl w:ilvl="2" w:tplc="A3B024C2" w:tentative="1">
      <w:start w:val="1"/>
      <w:numFmt w:val="bullet"/>
      <w:lvlText w:val=""/>
      <w:lvlJc w:val="left"/>
      <w:pPr>
        <w:tabs>
          <w:tab w:val="num" w:pos="2790"/>
        </w:tabs>
        <w:ind w:left="2790" w:hanging="360"/>
      </w:pPr>
      <w:rPr>
        <w:rFonts w:ascii="Symbol" w:hAnsi="Symbol" w:hint="default"/>
      </w:rPr>
    </w:lvl>
    <w:lvl w:ilvl="3" w:tplc="719C06AE" w:tentative="1">
      <w:start w:val="1"/>
      <w:numFmt w:val="bullet"/>
      <w:lvlText w:val=""/>
      <w:lvlJc w:val="left"/>
      <w:pPr>
        <w:tabs>
          <w:tab w:val="num" w:pos="3510"/>
        </w:tabs>
        <w:ind w:left="3510" w:hanging="360"/>
      </w:pPr>
      <w:rPr>
        <w:rFonts w:ascii="Symbol" w:hAnsi="Symbol" w:hint="default"/>
      </w:rPr>
    </w:lvl>
    <w:lvl w:ilvl="4" w:tplc="B17EDDF4" w:tentative="1">
      <w:start w:val="1"/>
      <w:numFmt w:val="bullet"/>
      <w:lvlText w:val=""/>
      <w:lvlJc w:val="left"/>
      <w:pPr>
        <w:tabs>
          <w:tab w:val="num" w:pos="4230"/>
        </w:tabs>
        <w:ind w:left="4230" w:hanging="360"/>
      </w:pPr>
      <w:rPr>
        <w:rFonts w:ascii="Symbol" w:hAnsi="Symbol" w:hint="default"/>
      </w:rPr>
    </w:lvl>
    <w:lvl w:ilvl="5" w:tplc="54F0E76E" w:tentative="1">
      <w:start w:val="1"/>
      <w:numFmt w:val="bullet"/>
      <w:lvlText w:val=""/>
      <w:lvlJc w:val="left"/>
      <w:pPr>
        <w:tabs>
          <w:tab w:val="num" w:pos="4950"/>
        </w:tabs>
        <w:ind w:left="4950" w:hanging="360"/>
      </w:pPr>
      <w:rPr>
        <w:rFonts w:ascii="Symbol" w:hAnsi="Symbol" w:hint="default"/>
      </w:rPr>
    </w:lvl>
    <w:lvl w:ilvl="6" w:tplc="107E1756" w:tentative="1">
      <w:start w:val="1"/>
      <w:numFmt w:val="bullet"/>
      <w:lvlText w:val=""/>
      <w:lvlJc w:val="left"/>
      <w:pPr>
        <w:tabs>
          <w:tab w:val="num" w:pos="5670"/>
        </w:tabs>
        <w:ind w:left="5670" w:hanging="360"/>
      </w:pPr>
      <w:rPr>
        <w:rFonts w:ascii="Symbol" w:hAnsi="Symbol" w:hint="default"/>
      </w:rPr>
    </w:lvl>
    <w:lvl w:ilvl="7" w:tplc="8E6083CC" w:tentative="1">
      <w:start w:val="1"/>
      <w:numFmt w:val="bullet"/>
      <w:lvlText w:val=""/>
      <w:lvlJc w:val="left"/>
      <w:pPr>
        <w:tabs>
          <w:tab w:val="num" w:pos="6390"/>
        </w:tabs>
        <w:ind w:left="6390" w:hanging="360"/>
      </w:pPr>
      <w:rPr>
        <w:rFonts w:ascii="Symbol" w:hAnsi="Symbol" w:hint="default"/>
      </w:rPr>
    </w:lvl>
    <w:lvl w:ilvl="8" w:tplc="9D9AB8EE" w:tentative="1">
      <w:start w:val="1"/>
      <w:numFmt w:val="bullet"/>
      <w:lvlText w:val=""/>
      <w:lvlJc w:val="left"/>
      <w:pPr>
        <w:tabs>
          <w:tab w:val="num" w:pos="7110"/>
        </w:tabs>
        <w:ind w:left="7110" w:hanging="360"/>
      </w:pPr>
      <w:rPr>
        <w:rFonts w:ascii="Symbol" w:hAnsi="Symbol" w:hint="default"/>
      </w:rPr>
    </w:lvl>
  </w:abstractNum>
  <w:abstractNum w:abstractNumId="1" w15:restartNumberingAfterBreak="0">
    <w:nsid w:val="250A1A52"/>
    <w:multiLevelType w:val="hybridMultilevel"/>
    <w:tmpl w:val="EF8A1D06"/>
    <w:lvl w:ilvl="0" w:tplc="BCDE2D84">
      <w:start w:val="1"/>
      <w:numFmt w:val="bullet"/>
      <w:lvlText w:val=""/>
      <w:lvlPicBulletId w:val="0"/>
      <w:lvlJc w:val="left"/>
      <w:pPr>
        <w:tabs>
          <w:tab w:val="num" w:pos="1440"/>
        </w:tabs>
        <w:ind w:left="1440" w:hanging="360"/>
      </w:pPr>
      <w:rPr>
        <w:rFonts w:ascii="Symbol" w:hAnsi="Symbol" w:hint="default"/>
      </w:rPr>
    </w:lvl>
    <w:lvl w:ilvl="1" w:tplc="6BDC48AA">
      <w:start w:val="1"/>
      <w:numFmt w:val="bullet"/>
      <w:lvlText w:val=""/>
      <w:lvlJc w:val="left"/>
      <w:pPr>
        <w:tabs>
          <w:tab w:val="num" w:pos="2160"/>
        </w:tabs>
        <w:ind w:left="2160" w:hanging="360"/>
      </w:pPr>
      <w:rPr>
        <w:rFonts w:ascii="Symbol" w:hAnsi="Symbol" w:hint="default"/>
      </w:rPr>
    </w:lvl>
    <w:lvl w:ilvl="2" w:tplc="FA0A0BBC">
      <w:start w:val="1"/>
      <w:numFmt w:val="bullet"/>
      <w:lvlText w:val=""/>
      <w:lvlJc w:val="left"/>
      <w:pPr>
        <w:tabs>
          <w:tab w:val="num" w:pos="2880"/>
        </w:tabs>
        <w:ind w:left="2880" w:hanging="360"/>
      </w:pPr>
      <w:rPr>
        <w:rFonts w:ascii="Symbol" w:hAnsi="Symbol" w:hint="default"/>
      </w:rPr>
    </w:lvl>
    <w:lvl w:ilvl="3" w:tplc="9454D798" w:tentative="1">
      <w:start w:val="1"/>
      <w:numFmt w:val="bullet"/>
      <w:lvlText w:val=""/>
      <w:lvlJc w:val="left"/>
      <w:pPr>
        <w:tabs>
          <w:tab w:val="num" w:pos="3600"/>
        </w:tabs>
        <w:ind w:left="3600" w:hanging="360"/>
      </w:pPr>
      <w:rPr>
        <w:rFonts w:ascii="Symbol" w:hAnsi="Symbol" w:hint="default"/>
      </w:rPr>
    </w:lvl>
    <w:lvl w:ilvl="4" w:tplc="786A1CAE" w:tentative="1">
      <w:start w:val="1"/>
      <w:numFmt w:val="bullet"/>
      <w:lvlText w:val=""/>
      <w:lvlJc w:val="left"/>
      <w:pPr>
        <w:tabs>
          <w:tab w:val="num" w:pos="4320"/>
        </w:tabs>
        <w:ind w:left="4320" w:hanging="360"/>
      </w:pPr>
      <w:rPr>
        <w:rFonts w:ascii="Symbol" w:hAnsi="Symbol" w:hint="default"/>
      </w:rPr>
    </w:lvl>
    <w:lvl w:ilvl="5" w:tplc="83DC05A6" w:tentative="1">
      <w:start w:val="1"/>
      <w:numFmt w:val="bullet"/>
      <w:lvlText w:val=""/>
      <w:lvlJc w:val="left"/>
      <w:pPr>
        <w:tabs>
          <w:tab w:val="num" w:pos="5040"/>
        </w:tabs>
        <w:ind w:left="5040" w:hanging="360"/>
      </w:pPr>
      <w:rPr>
        <w:rFonts w:ascii="Symbol" w:hAnsi="Symbol" w:hint="default"/>
      </w:rPr>
    </w:lvl>
    <w:lvl w:ilvl="6" w:tplc="F91A1936" w:tentative="1">
      <w:start w:val="1"/>
      <w:numFmt w:val="bullet"/>
      <w:lvlText w:val=""/>
      <w:lvlJc w:val="left"/>
      <w:pPr>
        <w:tabs>
          <w:tab w:val="num" w:pos="5760"/>
        </w:tabs>
        <w:ind w:left="5760" w:hanging="360"/>
      </w:pPr>
      <w:rPr>
        <w:rFonts w:ascii="Symbol" w:hAnsi="Symbol" w:hint="default"/>
      </w:rPr>
    </w:lvl>
    <w:lvl w:ilvl="7" w:tplc="9EDE41AE" w:tentative="1">
      <w:start w:val="1"/>
      <w:numFmt w:val="bullet"/>
      <w:lvlText w:val=""/>
      <w:lvlJc w:val="left"/>
      <w:pPr>
        <w:tabs>
          <w:tab w:val="num" w:pos="6480"/>
        </w:tabs>
        <w:ind w:left="6480" w:hanging="360"/>
      </w:pPr>
      <w:rPr>
        <w:rFonts w:ascii="Symbol" w:hAnsi="Symbol" w:hint="default"/>
      </w:rPr>
    </w:lvl>
    <w:lvl w:ilvl="8" w:tplc="32987B8C" w:tentative="1">
      <w:start w:val="1"/>
      <w:numFmt w:val="bullet"/>
      <w:lvlText w:val=""/>
      <w:lvlJc w:val="left"/>
      <w:pPr>
        <w:tabs>
          <w:tab w:val="num" w:pos="7200"/>
        </w:tabs>
        <w:ind w:left="7200" w:hanging="360"/>
      </w:pPr>
      <w:rPr>
        <w:rFonts w:ascii="Symbol" w:hAnsi="Symbol"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20C4"/>
    <w:rsid w:val="001E763C"/>
    <w:rsid w:val="00292ED9"/>
    <w:rsid w:val="00314AFB"/>
    <w:rsid w:val="003B76D9"/>
    <w:rsid w:val="003E4A37"/>
    <w:rsid w:val="00404E5B"/>
    <w:rsid w:val="00414F7B"/>
    <w:rsid w:val="004355DC"/>
    <w:rsid w:val="004749B4"/>
    <w:rsid w:val="00494130"/>
    <w:rsid w:val="004F3523"/>
    <w:rsid w:val="005973B9"/>
    <w:rsid w:val="005B3A56"/>
    <w:rsid w:val="006060CE"/>
    <w:rsid w:val="0063497F"/>
    <w:rsid w:val="00666E05"/>
    <w:rsid w:val="006D7EF5"/>
    <w:rsid w:val="007368F0"/>
    <w:rsid w:val="0078738A"/>
    <w:rsid w:val="008459A9"/>
    <w:rsid w:val="00873DF0"/>
    <w:rsid w:val="008756E6"/>
    <w:rsid w:val="009B2D44"/>
    <w:rsid w:val="00A07E82"/>
    <w:rsid w:val="00A25E13"/>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9C14"/>
  <w15:docId w15:val="{240848A1-403A-4A29-B5BD-2F0C3453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1D20C4"/>
    <w:rPr>
      <w:rFonts w:ascii="Helvetica" w:hAnsi="Helvetica" w:hint="default"/>
      <w:b w:val="0"/>
      <w:bCs w:val="0"/>
      <w:i w:val="0"/>
      <w:iCs w:val="0"/>
      <w:color w:val="000000"/>
      <w:sz w:val="20"/>
      <w:szCs w:val="20"/>
    </w:rPr>
  </w:style>
  <w:style w:type="character" w:customStyle="1" w:styleId="fontstyle21">
    <w:name w:val="fontstyle21"/>
    <w:basedOn w:val="DefaultParagraphFont"/>
    <w:rsid w:val="001D20C4"/>
    <w:rPr>
      <w:rFonts w:ascii="Helvetica-Oblique" w:hAnsi="Helvetica-Oblique" w:hint="default"/>
      <w:b w:val="0"/>
      <w:bCs w:val="0"/>
      <w:i w:val="0"/>
      <w:iCs w:val="0"/>
      <w:color w:val="000000"/>
      <w:sz w:val="20"/>
      <w:szCs w:val="20"/>
    </w:rPr>
  </w:style>
  <w:style w:type="character" w:customStyle="1" w:styleId="fontstyle31">
    <w:name w:val="fontstyle31"/>
    <w:basedOn w:val="DefaultParagraphFont"/>
    <w:rsid w:val="001D20C4"/>
    <w:rPr>
      <w:rFonts w:ascii="TeX_CM_Maths_Symbols" w:hAnsi="TeX_CM_Maths_Symbols" w:hint="default"/>
      <w:b w:val="0"/>
      <w:bCs w:val="0"/>
      <w:i w:val="0"/>
      <w:iCs w:val="0"/>
      <w:color w:val="000000"/>
      <w:sz w:val="20"/>
      <w:szCs w:val="20"/>
    </w:rPr>
  </w:style>
  <w:style w:type="character" w:customStyle="1" w:styleId="fontstyle41">
    <w:name w:val="fontstyle41"/>
    <w:basedOn w:val="DefaultParagraphFont"/>
    <w:rsid w:val="001D20C4"/>
    <w:rPr>
      <w:rFonts w:ascii="ArialMT" w:hAnsi="ArialMT" w:hint="default"/>
      <w:b w:val="0"/>
      <w:bCs w:val="0"/>
      <w:i w:val="0"/>
      <w:iCs w:val="0"/>
      <w:color w:val="000000"/>
      <w:sz w:val="20"/>
      <w:szCs w:val="20"/>
    </w:rPr>
  </w:style>
  <w:style w:type="character" w:styleId="UnresolvedMention">
    <w:name w:val="Unresolved Mention"/>
    <w:basedOn w:val="DefaultParagraphFont"/>
    <w:uiPriority w:val="99"/>
    <w:semiHidden/>
    <w:unhideWhenUsed/>
    <w:rsid w:val="00736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maru2005@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Mamaru Bitew Alem</cp:lastModifiedBy>
  <cp:revision>5</cp:revision>
  <dcterms:created xsi:type="dcterms:W3CDTF">2022-01-29T12:35:00Z</dcterms:created>
  <dcterms:modified xsi:type="dcterms:W3CDTF">2022-01-29T13:29:00Z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