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9F" w:rsidRDefault="00517B9F" w:rsidP="00494130">
      <w:pPr>
        <w:pStyle w:val="Heading1"/>
        <w:spacing w:before="170"/>
        <w:ind w:left="0"/>
        <w:rPr>
          <w:color w:val="337AB7"/>
        </w:rPr>
      </w:pPr>
    </w:p>
    <w:p w:rsidR="00517B9F" w:rsidRPr="00EA40FD" w:rsidRDefault="00452194" w:rsidP="00960340">
      <w:pPr>
        <w:jc w:val="center"/>
        <w:rPr>
          <w:b/>
        </w:rPr>
      </w:pPr>
      <w:r w:rsidRPr="00960340">
        <w:rPr>
          <w:noProof/>
        </w:rPr>
        <w:drawing>
          <wp:anchor distT="0" distB="0" distL="114300" distR="114300" simplePos="0" relativeHeight="251659264" behindDoc="0" locked="0" layoutInCell="1" allowOverlap="1" wp14:anchorId="5FDD55DE" wp14:editId="49341FEE">
            <wp:simplePos x="0" y="0"/>
            <wp:positionH relativeFrom="column">
              <wp:posOffset>4883150</wp:posOffset>
            </wp:positionH>
            <wp:positionV relativeFrom="paragraph">
              <wp:posOffset>9525</wp:posOffset>
            </wp:positionV>
            <wp:extent cx="991235" cy="10763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123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30BA">
        <w:rPr>
          <w:b/>
        </w:rPr>
        <w:t xml:space="preserve">        </w:t>
      </w:r>
      <w:r w:rsidR="00517B9F">
        <w:rPr>
          <w:b/>
        </w:rPr>
        <w:t xml:space="preserve"> </w:t>
      </w:r>
      <w:bookmarkStart w:id="0" w:name="_GoBack"/>
      <w:r w:rsidR="00AF3BD5" w:rsidRPr="00AF3BD5">
        <w:rPr>
          <w:b/>
          <w:noProof/>
        </w:rPr>
        <w:drawing>
          <wp:inline distT="0" distB="0" distL="0" distR="0">
            <wp:extent cx="942905" cy="1228725"/>
            <wp:effectExtent l="0" t="0" r="0" b="0"/>
            <wp:docPr id="2" name="Picture 2" descr="F:\Ostovar paper\conference\46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stovar paper\conference\46KB.jpg"/>
                    <pic:cNvPicPr>
                      <a:picLocks noChangeAspect="1" noChangeArrowheads="1"/>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973040" cy="1267995"/>
                    </a:xfrm>
                    <a:prstGeom prst="rect">
                      <a:avLst/>
                    </a:prstGeom>
                    <a:noFill/>
                    <a:ln>
                      <a:noFill/>
                    </a:ln>
                    <a:extLst>
                      <a:ext uri="{53640926-AAD7-44D8-BBD7-CCE9431645EC}">
                        <a14:shadowObscured xmlns:a14="http://schemas.microsoft.com/office/drawing/2010/main"/>
                      </a:ext>
                    </a:extLst>
                  </pic:spPr>
                </pic:pic>
              </a:graphicData>
            </a:graphic>
          </wp:inline>
        </w:drawing>
      </w:r>
      <w:bookmarkEnd w:id="0"/>
      <w:r w:rsidR="00517B9F" w:rsidRPr="00EA40FD">
        <w:rPr>
          <w:b/>
        </w:rPr>
        <w:tab/>
      </w:r>
      <w:r w:rsidR="00517B9F" w:rsidRPr="00EA40FD">
        <w:rPr>
          <w:b/>
        </w:rPr>
        <w:tab/>
        <w:t xml:space="preserve">                           </w:t>
      </w:r>
      <w:r w:rsidR="00517B9F">
        <w:rPr>
          <w:b/>
        </w:rPr>
        <w:t xml:space="preserve">                       </w:t>
      </w:r>
      <w:r w:rsidR="00960340">
        <w:rPr>
          <w:b/>
        </w:rPr>
        <w:t xml:space="preserve">   </w:t>
      </w:r>
      <w:r w:rsidR="00960340">
        <w:rPr>
          <w:b/>
          <w:color w:val="FF0000"/>
          <w:u w:val="single"/>
        </w:rPr>
        <w:t>Sahand University of Technology</w:t>
      </w:r>
    </w:p>
    <w:p w:rsidR="00AF3BD5" w:rsidRPr="00AF3BD5" w:rsidRDefault="00AF3BD5" w:rsidP="00AF3BD5">
      <w:pPr>
        <w:pStyle w:val="BodyText"/>
        <w:ind w:left="102" w:right="2893"/>
        <w:rPr>
          <w:rFonts w:ascii="Minion Pro" w:eastAsia="Minion Pro" w:hAnsi="Minion Pro" w:cs="Minion Pro"/>
          <w:b/>
          <w:bCs/>
          <w:color w:val="337AB7"/>
          <w:sz w:val="32"/>
          <w:szCs w:val="36"/>
        </w:rPr>
      </w:pPr>
      <w:r w:rsidRPr="00AF3BD5">
        <w:rPr>
          <w:rFonts w:ascii="Minion Pro" w:eastAsia="Minion Pro" w:hAnsi="Minion Pro" w:cs="Minion Pro"/>
          <w:b/>
          <w:bCs/>
          <w:color w:val="337AB7"/>
          <w:sz w:val="32"/>
          <w:szCs w:val="36"/>
        </w:rPr>
        <w:t>Optimization of hybrid TIG-MIG welding parameters of 316L austenitic stainless steel, and a comparison study with MIG process</w:t>
      </w:r>
    </w:p>
    <w:p w:rsidR="008945BF" w:rsidRDefault="008945BF" w:rsidP="008945BF">
      <w:pPr>
        <w:pStyle w:val="BodyText"/>
        <w:tabs>
          <w:tab w:val="left" w:pos="7938"/>
        </w:tabs>
        <w:spacing w:before="73" w:line="198" w:lineRule="exact"/>
        <w:ind w:left="100" w:right="1192"/>
        <w:rPr>
          <w:rFonts w:ascii="Arial"/>
        </w:rPr>
      </w:pPr>
      <w:r w:rsidRPr="00AF3BD5">
        <w:rPr>
          <w:rFonts w:ascii="Arial"/>
        </w:rPr>
        <w:t>Mojtaba Ostovar</w:t>
      </w:r>
      <w:r>
        <w:rPr>
          <w:rFonts w:ascii="Arial"/>
        </w:rPr>
        <w:t xml:space="preserve">, M. S., </w:t>
      </w:r>
      <w:r w:rsidRPr="008B6F33">
        <w:rPr>
          <w:rFonts w:ascii="Arial"/>
        </w:rPr>
        <w:t>Faculty of Materials Engineering, Sahand University of Technology, Tabriz, Iran</w:t>
      </w:r>
    </w:p>
    <w:p w:rsidR="008945BF" w:rsidRDefault="008945BF" w:rsidP="008945BF">
      <w:pPr>
        <w:pStyle w:val="BodyText"/>
        <w:tabs>
          <w:tab w:val="left" w:pos="7938"/>
        </w:tabs>
        <w:spacing w:before="73" w:line="198" w:lineRule="exact"/>
        <w:ind w:left="100" w:right="1192"/>
        <w:rPr>
          <w:rFonts w:ascii="Arial"/>
        </w:rPr>
      </w:pPr>
      <w:r>
        <w:rPr>
          <w:rFonts w:ascii="Arial"/>
        </w:rPr>
        <w:t xml:space="preserve">Tohid Saeid, Associate Professor, </w:t>
      </w:r>
      <w:r w:rsidRPr="008B6F33">
        <w:rPr>
          <w:rFonts w:ascii="Arial"/>
        </w:rPr>
        <w:t xml:space="preserve">Faculty of Materials Engineering, Sahand University of Technology, Tabriz, Iran </w:t>
      </w:r>
    </w:p>
    <w:p w:rsidR="008945BF" w:rsidRDefault="008945BF" w:rsidP="008945BF">
      <w:pPr>
        <w:pStyle w:val="BodyText"/>
        <w:tabs>
          <w:tab w:val="left" w:pos="7938"/>
        </w:tabs>
        <w:spacing w:before="73" w:line="198" w:lineRule="exact"/>
        <w:ind w:left="100" w:right="1192"/>
        <w:rPr>
          <w:rFonts w:ascii="Arial"/>
        </w:rPr>
      </w:pPr>
      <w:r w:rsidRPr="00D25BC0">
        <w:rPr>
          <w:rFonts w:ascii="Arial"/>
        </w:rPr>
        <w:t>Amir Mostafapour</w:t>
      </w:r>
      <w:r>
        <w:rPr>
          <w:rFonts w:ascii="Arial"/>
        </w:rPr>
        <w:t>,</w:t>
      </w:r>
      <w:r w:rsidRPr="00D25BC0">
        <w:rPr>
          <w:rFonts w:ascii="Arial"/>
        </w:rPr>
        <w:t xml:space="preserve"> </w:t>
      </w:r>
      <w:r>
        <w:rPr>
          <w:rFonts w:ascii="Arial"/>
        </w:rPr>
        <w:t xml:space="preserve">Associate Professor, </w:t>
      </w:r>
      <w:r w:rsidRPr="00D25BC0">
        <w:rPr>
          <w:rFonts w:ascii="Arial"/>
        </w:rPr>
        <w:t>Faculty of Mechanical Engineering, University of Tabriz, Tabriz, Iran.</w:t>
      </w:r>
    </w:p>
    <w:p w:rsidR="00AE3E37" w:rsidRPr="008945BF" w:rsidRDefault="008945BF" w:rsidP="008945BF">
      <w:pPr>
        <w:pStyle w:val="BodyText"/>
        <w:spacing w:before="73" w:line="198" w:lineRule="exact"/>
        <w:ind w:left="100" w:right="2468"/>
        <w:rPr>
          <w:rFonts w:ascii="Arial"/>
        </w:rPr>
      </w:pPr>
      <w:r>
        <w:rPr>
          <w:rFonts w:ascii="Arial"/>
        </w:rPr>
        <w:t xml:space="preserve">Sajad Emami, PhD, </w:t>
      </w:r>
      <w:r w:rsidRPr="008B6F33">
        <w:rPr>
          <w:rFonts w:ascii="Arial"/>
        </w:rPr>
        <w:t xml:space="preserve">Faculty of Materials Engineering, Sahand University of Technology, Tabriz, Iran </w:t>
      </w: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rsidP="008B6F33">
      <w:pPr>
        <w:pStyle w:val="Heading3"/>
        <w:spacing w:before="147"/>
        <w:jc w:val="both"/>
      </w:pPr>
      <w:r>
        <w:rPr>
          <w:color w:val="BF5A14"/>
        </w:rPr>
        <w:lastRenderedPageBreak/>
        <w:t>Abstract</w:t>
      </w:r>
      <w:r w:rsidR="00404E5B">
        <w:rPr>
          <w:color w:val="BF5A14"/>
        </w:rPr>
        <w:t xml:space="preserve"> </w:t>
      </w:r>
    </w:p>
    <w:p w:rsidR="00BD40D4" w:rsidRDefault="00D25BC0" w:rsidP="00D25BC0">
      <w:pPr>
        <w:pStyle w:val="Heading3"/>
        <w:spacing w:before="74"/>
        <w:ind w:left="0"/>
        <w:jc w:val="both"/>
        <w:rPr>
          <w:b w:val="0"/>
        </w:rPr>
      </w:pPr>
      <w:r w:rsidRPr="00D25BC0">
        <w:rPr>
          <w:rFonts w:ascii="Tw Cen MT" w:eastAsia="Tw Cen MT" w:hAnsi="Tw Cen MT" w:cs="Tw Cen MT"/>
          <w:b w:val="0"/>
          <w:bCs w:val="0"/>
          <w:iCs/>
          <w:sz w:val="18"/>
          <w:szCs w:val="18"/>
        </w:rPr>
        <w:t>In the MIG-TIG hybrid welding method, better quality and efficiency is achieved compared with MIG and TIG methods. Also, in hybrid method, MIG arc is more stable in the shielding atmosphere of pure argon gas. Therefore, in this study the effects of the TIG-MIG hybrid welding parameters on the apparent quality and the depth to width ratio of 316L austenitic stainless steel were investigated using Taguchi design of experiments (DOE). Then, the microstructure</w:t>
      </w:r>
      <w:r>
        <w:rPr>
          <w:rFonts w:ascii="Tw Cen MT" w:eastAsia="Tw Cen MT" w:hAnsi="Tw Cen MT" w:cs="Tw Cen MT"/>
          <w:b w:val="0"/>
          <w:bCs w:val="0"/>
          <w:iCs/>
          <w:sz w:val="18"/>
          <w:szCs w:val="18"/>
        </w:rPr>
        <w:t xml:space="preserve"> of</w:t>
      </w:r>
      <w:r w:rsidRPr="00D25BC0">
        <w:rPr>
          <w:rFonts w:ascii="Tw Cen MT" w:eastAsia="Tw Cen MT" w:hAnsi="Tw Cen MT" w:cs="Tw Cen MT"/>
          <w:b w:val="0"/>
          <w:bCs w:val="0"/>
          <w:iCs/>
          <w:sz w:val="18"/>
          <w:szCs w:val="18"/>
        </w:rPr>
        <w:t xml:space="preserve"> hybrid weld yielded from the optimum parameters of Taguchi DOE were compared with MIG weld under equal heat-input condition. The results revealed that the most important parameter in the hybrid method to obtain the best apparent quality and the highest depth to width ratio is the distance between the two arcs and the MIG and TIG currents are the next parameters. In hybrid welding using optimum parameters, the weld depth to width ratio increased by 92% and welding speed by 56% with respect to ordinary MIG welds. In addition, the grain size and the HAZ width in hybrid welding was smaller than that in MIG processes due to higher cooling rate in the hybrid welding method.</w:t>
      </w:r>
    </w:p>
    <w:p w:rsidR="00BD40D4" w:rsidRPr="00661015" w:rsidRDefault="00BD40D4" w:rsidP="00D25BC0">
      <w:pPr>
        <w:rPr>
          <w:b/>
          <w:color w:val="000000"/>
        </w:rPr>
      </w:pPr>
      <w:r w:rsidRPr="00661015">
        <w:rPr>
          <w:b/>
          <w:color w:val="000000"/>
          <w:highlight w:val="yellow"/>
        </w:rPr>
        <w:t>Key words:</w:t>
      </w:r>
      <w:r>
        <w:rPr>
          <w:b/>
          <w:color w:val="000000"/>
        </w:rPr>
        <w:t xml:space="preserve"> </w:t>
      </w:r>
      <w:r w:rsidR="00D25BC0" w:rsidRPr="00D25BC0">
        <w:rPr>
          <w:iCs/>
          <w:color w:val="000000"/>
        </w:rPr>
        <w:t>Hybrid Welding, Austenitic Stainless Steel, Microstructure</w:t>
      </w:r>
      <w:r w:rsidR="00D25BC0">
        <w:rPr>
          <w:iCs/>
          <w:color w:val="000000"/>
        </w:rPr>
        <w:t>, TIG Welding, MIG Welding</w:t>
      </w:r>
    </w:p>
    <w:p w:rsidR="00AE3E37" w:rsidRDefault="00A9710C">
      <w:pPr>
        <w:pStyle w:val="Heading3"/>
        <w:spacing w:before="74"/>
      </w:pPr>
      <w:r>
        <w:rPr>
          <w:b w:val="0"/>
        </w:rPr>
        <w:br w:type="column"/>
      </w:r>
      <w:r>
        <w:rPr>
          <w:color w:val="BF5A14"/>
        </w:rPr>
        <w:lastRenderedPageBreak/>
        <w:t>Image</w:t>
      </w:r>
    </w:p>
    <w:p w:rsidR="00AE3E37" w:rsidRDefault="00611F8D">
      <w:pPr>
        <w:pStyle w:val="BodyText"/>
        <w:spacing w:before="2"/>
        <w:rPr>
          <w:rFonts w:ascii="Arial"/>
          <w:b/>
          <w:sz w:val="16"/>
        </w:rPr>
      </w:pPr>
      <w:r w:rsidRPr="00611F8D">
        <w:rPr>
          <w:rFonts w:ascii="Arial"/>
          <w:b/>
          <w:noProof/>
          <w:sz w:val="16"/>
        </w:rPr>
        <w:drawing>
          <wp:inline distT="0" distB="0" distL="0" distR="0">
            <wp:extent cx="3165475" cy="2164006"/>
            <wp:effectExtent l="0" t="0" r="0" b="8255"/>
            <wp:docPr id="3" name="Picture 3" descr="F:\Ostovar paper\conference\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stovar paper\conference\Picture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164006"/>
                    </a:xfrm>
                    <a:prstGeom prst="rect">
                      <a:avLst/>
                    </a:prstGeom>
                    <a:noFill/>
                    <a:ln>
                      <a:noFill/>
                    </a:ln>
                  </pic:spPr>
                </pic:pic>
              </a:graphicData>
            </a:graphic>
          </wp:inline>
        </w:drawing>
      </w:r>
    </w:p>
    <w:p w:rsidR="007B5188" w:rsidRDefault="007B5188" w:rsidP="003B6694">
      <w:pPr>
        <w:pStyle w:val="BodyText"/>
        <w:spacing w:before="2"/>
        <w:rPr>
          <w:rFonts w:ascii="Arial"/>
          <w:b/>
          <w:sz w:val="16"/>
        </w:rPr>
      </w:pPr>
      <w:r>
        <w:rPr>
          <w:rFonts w:ascii="Arial"/>
          <w:b/>
          <w:sz w:val="16"/>
        </w:rPr>
        <w:t xml:space="preserve">Graphical </w:t>
      </w:r>
      <w:r w:rsidR="003B6694">
        <w:rPr>
          <w:rFonts w:ascii="Arial"/>
          <w:b/>
          <w:sz w:val="16"/>
        </w:rPr>
        <w:t>A</w:t>
      </w:r>
      <w:r>
        <w:rPr>
          <w:rFonts w:ascii="Arial"/>
          <w:b/>
          <w:sz w:val="16"/>
        </w:rPr>
        <w:t>bstract</w:t>
      </w:r>
      <w:r w:rsidR="003B6694">
        <w:rPr>
          <w:rFonts w:ascii="Arial"/>
          <w:b/>
          <w:sz w:val="16"/>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7C77CC" w:rsidRDefault="007C77CC" w:rsidP="007C77CC">
      <w:pPr>
        <w:pStyle w:val="ListParagraph"/>
        <w:numPr>
          <w:ilvl w:val="0"/>
          <w:numId w:val="3"/>
        </w:numPr>
        <w:tabs>
          <w:tab w:val="left" w:pos="384"/>
        </w:tabs>
        <w:spacing w:line="216" w:lineRule="exact"/>
        <w:ind w:right="137"/>
        <w:rPr>
          <w:sz w:val="18"/>
        </w:rPr>
      </w:pPr>
      <w:r w:rsidRPr="007C77CC">
        <w:rPr>
          <w:sz w:val="18"/>
        </w:rPr>
        <w:t xml:space="preserve">Saeid T, </w:t>
      </w:r>
      <w:proofErr w:type="spellStart"/>
      <w:r w:rsidRPr="007C77CC">
        <w:rPr>
          <w:sz w:val="18"/>
        </w:rPr>
        <w:t>Abdollah-Zadeh</w:t>
      </w:r>
      <w:proofErr w:type="spellEnd"/>
      <w:r w:rsidRPr="007C77CC">
        <w:rPr>
          <w:sz w:val="18"/>
        </w:rPr>
        <w:t xml:space="preserve"> A, </w:t>
      </w:r>
      <w:proofErr w:type="spellStart"/>
      <w:r w:rsidRPr="007C77CC">
        <w:rPr>
          <w:sz w:val="18"/>
        </w:rPr>
        <w:t>Sazgari</w:t>
      </w:r>
      <w:proofErr w:type="spellEnd"/>
      <w:r w:rsidRPr="007C77CC">
        <w:rPr>
          <w:sz w:val="18"/>
        </w:rPr>
        <w:t xml:space="preserve"> B </w:t>
      </w:r>
      <w:r>
        <w:rPr>
          <w:sz w:val="18"/>
        </w:rPr>
        <w:t xml:space="preserve">(2010) </w:t>
      </w:r>
      <w:proofErr w:type="spellStart"/>
      <w:r w:rsidRPr="007C77CC">
        <w:rPr>
          <w:sz w:val="18"/>
        </w:rPr>
        <w:t>Weldability</w:t>
      </w:r>
      <w:proofErr w:type="spellEnd"/>
      <w:r w:rsidRPr="007C77CC">
        <w:rPr>
          <w:sz w:val="18"/>
        </w:rPr>
        <w:t xml:space="preserve"> and mechanical properties of dissimilar aluminum–copper lap joints made by friction stir welding</w:t>
      </w:r>
      <w:r>
        <w:rPr>
          <w:sz w:val="18"/>
        </w:rPr>
        <w:t xml:space="preserve">, </w:t>
      </w:r>
      <w:r w:rsidRPr="007C77CC">
        <w:rPr>
          <w:sz w:val="18"/>
        </w:rPr>
        <w:t>Journal of Alloys and Compounds</w:t>
      </w:r>
      <w:r>
        <w:rPr>
          <w:sz w:val="18"/>
        </w:rPr>
        <w:t xml:space="preserve"> 490:</w:t>
      </w:r>
      <w:r w:rsidRPr="007C77CC">
        <w:rPr>
          <w:sz w:val="18"/>
        </w:rPr>
        <w:t>652-655</w:t>
      </w:r>
    </w:p>
    <w:p w:rsidR="00727875" w:rsidRDefault="00ED41C5" w:rsidP="00ED41C5">
      <w:pPr>
        <w:pStyle w:val="ListParagraph"/>
        <w:numPr>
          <w:ilvl w:val="0"/>
          <w:numId w:val="3"/>
        </w:numPr>
        <w:tabs>
          <w:tab w:val="left" w:pos="384"/>
        </w:tabs>
        <w:spacing w:before="103" w:line="216" w:lineRule="exact"/>
        <w:ind w:right="138"/>
        <w:rPr>
          <w:sz w:val="18"/>
        </w:rPr>
      </w:pPr>
      <w:r>
        <w:rPr>
          <w:sz w:val="18"/>
        </w:rPr>
        <w:t>Emami S, Saeid T (2015)</w:t>
      </w:r>
      <w:r w:rsidRPr="00ED41C5">
        <w:rPr>
          <w:sz w:val="18"/>
        </w:rPr>
        <w:t xml:space="preserve"> Effects of welding and rotational speeds on the microstructure and hardness of friction stir welded single-phase brass, </w:t>
      </w:r>
      <w:proofErr w:type="spellStart"/>
      <w:r w:rsidRPr="00ED41C5">
        <w:rPr>
          <w:sz w:val="18"/>
        </w:rPr>
        <w:t>Acta</w:t>
      </w:r>
      <w:proofErr w:type="spellEnd"/>
      <w:r w:rsidRPr="00ED41C5">
        <w:rPr>
          <w:sz w:val="18"/>
        </w:rPr>
        <w:t xml:space="preserve"> </w:t>
      </w:r>
      <w:proofErr w:type="spellStart"/>
      <w:r w:rsidRPr="00ED41C5">
        <w:rPr>
          <w:sz w:val="18"/>
        </w:rPr>
        <w:t>Metallurgica</w:t>
      </w:r>
      <w:proofErr w:type="spellEnd"/>
      <w:r w:rsidRPr="00ED41C5">
        <w:rPr>
          <w:sz w:val="18"/>
        </w:rPr>
        <w:t xml:space="preserve"> </w:t>
      </w:r>
      <w:proofErr w:type="spellStart"/>
      <w:r w:rsidRPr="00ED41C5">
        <w:rPr>
          <w:sz w:val="18"/>
        </w:rPr>
        <w:t>Sinica</w:t>
      </w:r>
      <w:proofErr w:type="spellEnd"/>
      <w:r w:rsidRPr="00ED41C5">
        <w:rPr>
          <w:sz w:val="18"/>
        </w:rPr>
        <w:t xml:space="preserve"> (English Letters), 28 (6)</w:t>
      </w:r>
      <w:r>
        <w:rPr>
          <w:sz w:val="18"/>
        </w:rPr>
        <w:t>:</w:t>
      </w:r>
      <w:r w:rsidRPr="00ED41C5">
        <w:rPr>
          <w:sz w:val="18"/>
        </w:rPr>
        <w:t>766–771.</w:t>
      </w:r>
    </w:p>
    <w:p w:rsidR="0043741E" w:rsidRPr="0043741E" w:rsidRDefault="0043741E" w:rsidP="0043741E">
      <w:pPr>
        <w:pStyle w:val="ListParagraph"/>
        <w:numPr>
          <w:ilvl w:val="0"/>
          <w:numId w:val="3"/>
        </w:numPr>
        <w:rPr>
          <w:sz w:val="18"/>
        </w:rPr>
      </w:pPr>
      <w:r w:rsidRPr="0043741E">
        <w:rPr>
          <w:sz w:val="18"/>
        </w:rPr>
        <w:t>Emami S, Saeid T, Azari Khosroshahi R (2018) Microstructural evolution of friction stir welded SAF 2205 duplex stainless steel, Journal of Alloys and Compounds 739:678-689.</w:t>
      </w:r>
    </w:p>
    <w:p w:rsidR="00AE3E37" w:rsidRPr="0043741E" w:rsidRDefault="00AE3E37" w:rsidP="0043741E">
      <w:pPr>
        <w:tabs>
          <w:tab w:val="left" w:pos="384"/>
        </w:tabs>
        <w:spacing w:before="103" w:line="216" w:lineRule="exact"/>
        <w:ind w:right="138"/>
        <w:rPr>
          <w:sz w:val="18"/>
        </w:rPr>
        <w:sectPr w:rsidR="00AE3E37" w:rsidRPr="0043741E" w:rsidSect="00517B9F">
          <w:type w:val="continuous"/>
          <w:pgSz w:w="11910" w:h="16840"/>
          <w:pgMar w:top="538"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459B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sidRPr="004C473A">
        <w:rPr>
          <w:rFonts w:ascii="Arial"/>
          <w:color w:val="BF5A14"/>
          <w:highlight w:val="yellow"/>
        </w:rPr>
        <w:t>Biography</w:t>
      </w:r>
      <w:r w:rsidR="00404E5B">
        <w:rPr>
          <w:rFonts w:ascii="Arial"/>
          <w:color w:val="BF5A14"/>
        </w:rPr>
        <w:t xml:space="preserve"> </w:t>
      </w:r>
    </w:p>
    <w:p w:rsidR="007C77CC" w:rsidRDefault="007C77CC" w:rsidP="007C77CC">
      <w:pPr>
        <w:spacing w:before="41" w:line="154" w:lineRule="exact"/>
        <w:ind w:left="213" w:right="231"/>
        <w:jc w:val="both"/>
        <w:rPr>
          <w:rFonts w:ascii="Arial"/>
          <w:sz w:val="14"/>
        </w:rPr>
      </w:pPr>
      <w:r>
        <w:rPr>
          <w:rFonts w:ascii="Arial" w:cs="Arial"/>
          <w:sz w:val="14"/>
        </w:rPr>
        <w:t xml:space="preserve">Mojtaba Ostovar </w:t>
      </w:r>
      <w:r>
        <w:rPr>
          <w:rFonts w:ascii="Arial"/>
          <w:sz w:val="14"/>
        </w:rPr>
        <w:t>is interested in investigation microstructural and mechanical properti</w:t>
      </w:r>
      <w:r>
        <w:rPr>
          <w:rFonts w:ascii="Arial" w:cs="Arial"/>
          <w:sz w:val="14"/>
        </w:rPr>
        <w:t>es</w:t>
      </w:r>
      <w:r>
        <w:rPr>
          <w:rFonts w:ascii="Arial"/>
          <w:sz w:val="14"/>
        </w:rPr>
        <w:t xml:space="preserve"> of metallic alloys during and after any welding processes like TIG, MIG, and TIG-MIG hybrid welding techniques. </w:t>
      </w:r>
      <w:r w:rsidRPr="00785BC3">
        <w:rPr>
          <w:rFonts w:ascii="Arial"/>
          <w:sz w:val="14"/>
        </w:rPr>
        <w:tab/>
      </w:r>
    </w:p>
    <w:p w:rsidR="00785BC3" w:rsidRPr="00785BC3" w:rsidRDefault="00785BC3" w:rsidP="00351246">
      <w:pPr>
        <w:spacing w:before="41" w:line="154" w:lineRule="exact"/>
        <w:ind w:right="231"/>
        <w:jc w:val="both"/>
        <w:rPr>
          <w:rFonts w:ascii="Arial"/>
          <w:sz w:val="14"/>
        </w:rPr>
      </w:pPr>
    </w:p>
    <w:p w:rsidR="00785BC3" w:rsidRPr="00BF1D4E" w:rsidRDefault="007C77CC" w:rsidP="00B0502B">
      <w:pPr>
        <w:rPr>
          <w:b/>
          <w:color w:val="FF0000"/>
          <w:sz w:val="24"/>
          <w:szCs w:val="24"/>
        </w:rPr>
      </w:pPr>
      <w:r>
        <w:rPr>
          <w:b/>
          <w:lang w:val="en-NZ"/>
        </w:rPr>
        <w:t>Presenting author details</w:t>
      </w:r>
      <w:r w:rsidR="00785BC3" w:rsidRPr="00785BC3">
        <w:rPr>
          <w:lang w:val="en-NZ"/>
        </w:rPr>
        <w:br/>
      </w:r>
      <w:r w:rsidR="00785BC3" w:rsidRPr="00BF1D4E">
        <w:rPr>
          <w:b/>
          <w:color w:val="FF0000"/>
          <w:sz w:val="24"/>
          <w:szCs w:val="24"/>
        </w:rPr>
        <w:t>Full name:</w:t>
      </w:r>
      <w:r w:rsidR="00B0502B">
        <w:rPr>
          <w:b/>
          <w:color w:val="FF0000"/>
          <w:sz w:val="24"/>
          <w:szCs w:val="24"/>
        </w:rPr>
        <w:t xml:space="preserve"> Tohid Saeid</w:t>
      </w:r>
    </w:p>
    <w:p w:rsidR="00785BC3" w:rsidRPr="00BF1D4E" w:rsidRDefault="00785BC3" w:rsidP="00B0502B">
      <w:pPr>
        <w:rPr>
          <w:b/>
          <w:color w:val="FF0000"/>
          <w:sz w:val="24"/>
          <w:szCs w:val="24"/>
        </w:rPr>
      </w:pPr>
      <w:r w:rsidRPr="00BF1D4E">
        <w:rPr>
          <w:b/>
          <w:color w:val="FF0000"/>
          <w:sz w:val="24"/>
          <w:szCs w:val="24"/>
        </w:rPr>
        <w:t>University name:</w:t>
      </w:r>
      <w:r w:rsidR="00B0502B" w:rsidRPr="00B0502B">
        <w:rPr>
          <w:rFonts w:ascii="Arial"/>
        </w:rPr>
        <w:t xml:space="preserve"> </w:t>
      </w:r>
      <w:r w:rsidR="00B0502B" w:rsidRPr="00B0502B">
        <w:rPr>
          <w:b/>
          <w:color w:val="FF0000"/>
          <w:sz w:val="24"/>
          <w:szCs w:val="24"/>
        </w:rPr>
        <w:t xml:space="preserve">Sahand University of Technology </w:t>
      </w:r>
    </w:p>
    <w:p w:rsidR="00785BC3" w:rsidRPr="00BF1D4E" w:rsidRDefault="00785BC3" w:rsidP="00B0502B">
      <w:pPr>
        <w:rPr>
          <w:b/>
          <w:color w:val="FF0000"/>
          <w:sz w:val="24"/>
          <w:szCs w:val="24"/>
        </w:rPr>
      </w:pPr>
      <w:r w:rsidRPr="00BF1D4E">
        <w:rPr>
          <w:b/>
          <w:color w:val="FF0000"/>
          <w:sz w:val="24"/>
          <w:szCs w:val="24"/>
        </w:rPr>
        <w:t>Designation</w:t>
      </w:r>
      <w:r w:rsidR="00B55A81">
        <w:rPr>
          <w:b/>
          <w:color w:val="FF0000"/>
          <w:sz w:val="24"/>
          <w:szCs w:val="24"/>
        </w:rPr>
        <w:t xml:space="preserve">: </w:t>
      </w:r>
      <w:r w:rsidRPr="00BF1D4E">
        <w:rPr>
          <w:b/>
          <w:color w:val="FF0000"/>
          <w:sz w:val="24"/>
          <w:szCs w:val="24"/>
        </w:rPr>
        <w:t>Associate prof</w:t>
      </w:r>
      <w:r w:rsidR="00B0502B">
        <w:rPr>
          <w:b/>
          <w:color w:val="FF0000"/>
          <w:sz w:val="24"/>
          <w:szCs w:val="24"/>
        </w:rPr>
        <w:t xml:space="preserve">essor </w:t>
      </w:r>
    </w:p>
    <w:p w:rsidR="00785BC3" w:rsidRPr="00BF1D4E" w:rsidRDefault="00785BC3" w:rsidP="00785BC3">
      <w:pPr>
        <w:rPr>
          <w:b/>
          <w:color w:val="FF0000"/>
          <w:sz w:val="24"/>
          <w:szCs w:val="24"/>
        </w:rPr>
      </w:pPr>
      <w:r w:rsidRPr="00BF1D4E">
        <w:rPr>
          <w:b/>
          <w:color w:val="FF0000"/>
          <w:sz w:val="24"/>
          <w:szCs w:val="24"/>
        </w:rPr>
        <w:t>Country:</w:t>
      </w:r>
      <w:r w:rsidR="00B0502B">
        <w:rPr>
          <w:b/>
          <w:color w:val="FF0000"/>
          <w:sz w:val="24"/>
          <w:szCs w:val="24"/>
        </w:rPr>
        <w:t xml:space="preserve"> Iran</w:t>
      </w:r>
    </w:p>
    <w:p w:rsidR="00785BC3" w:rsidRPr="00BF1D4E" w:rsidRDefault="00785BC3" w:rsidP="00B0502B">
      <w:pPr>
        <w:rPr>
          <w:b/>
          <w:color w:val="FF0000"/>
          <w:sz w:val="24"/>
          <w:szCs w:val="24"/>
        </w:rPr>
      </w:pPr>
      <w:r w:rsidRPr="00BF1D4E">
        <w:rPr>
          <w:b/>
          <w:color w:val="FF0000"/>
          <w:sz w:val="24"/>
          <w:szCs w:val="24"/>
        </w:rPr>
        <w:t>Mobile number:</w:t>
      </w:r>
      <w:r w:rsidR="00B0502B">
        <w:rPr>
          <w:b/>
          <w:color w:val="FF0000"/>
          <w:sz w:val="24"/>
          <w:szCs w:val="24"/>
        </w:rPr>
        <w:t xml:space="preserve"> +98-9144019901</w:t>
      </w:r>
    </w:p>
    <w:p w:rsidR="00785BC3" w:rsidRPr="00B55A81" w:rsidRDefault="00785BC3" w:rsidP="009075E6">
      <w:pPr>
        <w:rPr>
          <w:b/>
          <w:color w:val="FF0000"/>
          <w:sz w:val="24"/>
          <w:szCs w:val="24"/>
        </w:rPr>
      </w:pPr>
      <w:r w:rsidRPr="00BF1D4E">
        <w:rPr>
          <w:b/>
          <w:color w:val="FF0000"/>
          <w:sz w:val="24"/>
          <w:szCs w:val="24"/>
        </w:rPr>
        <w:t>Email:</w:t>
      </w:r>
      <w:r w:rsidR="00B0502B">
        <w:rPr>
          <w:b/>
          <w:color w:val="FF0000"/>
          <w:sz w:val="24"/>
          <w:szCs w:val="24"/>
        </w:rPr>
        <w:t xml:space="preserve"> Saeid@sut.ac.ir</w:t>
      </w:r>
      <w:r w:rsidRPr="00BF1D4E">
        <w:rPr>
          <w:b/>
          <w:color w:val="FF0000"/>
          <w:sz w:val="24"/>
          <w:szCs w:val="24"/>
        </w:rPr>
        <w:br/>
      </w:r>
      <w:r w:rsidRPr="00BF1D4E">
        <w:rPr>
          <w:b/>
          <w:color w:val="FF0000"/>
          <w:sz w:val="24"/>
          <w:szCs w:val="24"/>
          <w:lang w:val="en-NZ"/>
        </w:rPr>
        <w:t>Category:</w:t>
      </w:r>
      <w:r w:rsidR="00B22AEC" w:rsidRPr="00B22AEC">
        <w:rPr>
          <w:b/>
          <w:color w:val="FF0000"/>
          <w:sz w:val="24"/>
          <w:szCs w:val="24"/>
          <w:lang w:val="en-NZ"/>
        </w:rPr>
        <w:t xml:space="preserve"> </w:t>
      </w:r>
      <w:r w:rsidR="009075E6">
        <w:rPr>
          <w:b/>
          <w:color w:val="FF0000"/>
          <w:sz w:val="24"/>
          <w:szCs w:val="24"/>
          <w:lang w:val="en-NZ"/>
        </w:rPr>
        <w:t>poster</w:t>
      </w:r>
      <w:r w:rsidR="00B22AEC" w:rsidRPr="00BF1D4E">
        <w:rPr>
          <w:b/>
          <w:color w:val="FF0000"/>
          <w:sz w:val="24"/>
          <w:szCs w:val="24"/>
          <w:lang w:val="en-NZ"/>
        </w:rPr>
        <w:t xml:space="preserve"> presentation</w:t>
      </w:r>
    </w:p>
    <w:p w:rsidR="00D25BC0" w:rsidRPr="00D25BC0" w:rsidRDefault="00785BC3" w:rsidP="00D25BC0">
      <w:pPr>
        <w:rPr>
          <w:sz w:val="14"/>
          <w:szCs w:val="24"/>
        </w:rPr>
      </w:pPr>
      <w:r w:rsidRPr="00BF1D4E">
        <w:rPr>
          <w:b/>
          <w:color w:val="FF0000"/>
          <w:sz w:val="24"/>
          <w:szCs w:val="24"/>
        </w:rPr>
        <w:t>Research interest:</w:t>
      </w:r>
      <w:r w:rsidR="00B0502B">
        <w:rPr>
          <w:b/>
          <w:color w:val="FF0000"/>
          <w:sz w:val="24"/>
          <w:szCs w:val="24"/>
        </w:rPr>
        <w:t xml:space="preserve"> Joining &amp; welding, Characterization</w:t>
      </w:r>
    </w:p>
    <w:sectPr w:rsidR="00D25BC0" w:rsidRPr="00D25BC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1ED" w:rsidRDefault="002921ED">
      <w:r>
        <w:separator/>
      </w:r>
    </w:p>
  </w:endnote>
  <w:endnote w:type="continuationSeparator" w:id="0">
    <w:p w:rsidR="002921ED" w:rsidRDefault="0029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00007843" w:usb2="00000001"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1ED" w:rsidRDefault="002921ED">
      <w:r>
        <w:separator/>
      </w:r>
    </w:p>
  </w:footnote>
  <w:footnote w:type="continuationSeparator" w:id="0">
    <w:p w:rsidR="002921ED" w:rsidRDefault="002921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4D6B"/>
    <w:rsid w:val="001263DF"/>
    <w:rsid w:val="001338EA"/>
    <w:rsid w:val="00142CBB"/>
    <w:rsid w:val="00151A4C"/>
    <w:rsid w:val="00153EEF"/>
    <w:rsid w:val="001A7FD6"/>
    <w:rsid w:val="001D18ED"/>
    <w:rsid w:val="002113DC"/>
    <w:rsid w:val="00267B7E"/>
    <w:rsid w:val="002921ED"/>
    <w:rsid w:val="00292ED9"/>
    <w:rsid w:val="002E616C"/>
    <w:rsid w:val="00331F51"/>
    <w:rsid w:val="00333452"/>
    <w:rsid w:val="00351246"/>
    <w:rsid w:val="00375C34"/>
    <w:rsid w:val="003B13B1"/>
    <w:rsid w:val="003B6694"/>
    <w:rsid w:val="00400C03"/>
    <w:rsid w:val="00404E5B"/>
    <w:rsid w:val="00414F7B"/>
    <w:rsid w:val="004355DC"/>
    <w:rsid w:val="0043741E"/>
    <w:rsid w:val="00452194"/>
    <w:rsid w:val="004566AA"/>
    <w:rsid w:val="00473086"/>
    <w:rsid w:val="004749B4"/>
    <w:rsid w:val="00494130"/>
    <w:rsid w:val="004C473A"/>
    <w:rsid w:val="004F3523"/>
    <w:rsid w:val="0051122F"/>
    <w:rsid w:val="00513763"/>
    <w:rsid w:val="00517B9F"/>
    <w:rsid w:val="0055478C"/>
    <w:rsid w:val="005973B9"/>
    <w:rsid w:val="005B3A56"/>
    <w:rsid w:val="005B7939"/>
    <w:rsid w:val="005E538D"/>
    <w:rsid w:val="00604462"/>
    <w:rsid w:val="006060CE"/>
    <w:rsid w:val="00611F8D"/>
    <w:rsid w:val="0063497F"/>
    <w:rsid w:val="00671358"/>
    <w:rsid w:val="006809BA"/>
    <w:rsid w:val="00726E6F"/>
    <w:rsid w:val="00727875"/>
    <w:rsid w:val="00775D4E"/>
    <w:rsid w:val="00785BC3"/>
    <w:rsid w:val="007B1086"/>
    <w:rsid w:val="007B30BA"/>
    <w:rsid w:val="007B5188"/>
    <w:rsid w:val="007C77CC"/>
    <w:rsid w:val="007E20C9"/>
    <w:rsid w:val="007F7FE8"/>
    <w:rsid w:val="00805CF3"/>
    <w:rsid w:val="00811B9A"/>
    <w:rsid w:val="00873DF0"/>
    <w:rsid w:val="008756E6"/>
    <w:rsid w:val="008945BF"/>
    <w:rsid w:val="008B6F33"/>
    <w:rsid w:val="009075E6"/>
    <w:rsid w:val="0091394E"/>
    <w:rsid w:val="00960340"/>
    <w:rsid w:val="00976A57"/>
    <w:rsid w:val="009B2D44"/>
    <w:rsid w:val="00A07E82"/>
    <w:rsid w:val="00A53353"/>
    <w:rsid w:val="00A9710C"/>
    <w:rsid w:val="00AE3E37"/>
    <w:rsid w:val="00AF3BD5"/>
    <w:rsid w:val="00B0502B"/>
    <w:rsid w:val="00B21A57"/>
    <w:rsid w:val="00B22AEC"/>
    <w:rsid w:val="00B55A81"/>
    <w:rsid w:val="00B70050"/>
    <w:rsid w:val="00B82799"/>
    <w:rsid w:val="00BB65DC"/>
    <w:rsid w:val="00BD40D4"/>
    <w:rsid w:val="00BD4455"/>
    <w:rsid w:val="00BF1D4E"/>
    <w:rsid w:val="00C13D8E"/>
    <w:rsid w:val="00C33602"/>
    <w:rsid w:val="00C5461E"/>
    <w:rsid w:val="00C921A4"/>
    <w:rsid w:val="00CB1147"/>
    <w:rsid w:val="00CC37C6"/>
    <w:rsid w:val="00CD6F55"/>
    <w:rsid w:val="00CE7FD0"/>
    <w:rsid w:val="00D25BC0"/>
    <w:rsid w:val="00D64EA2"/>
    <w:rsid w:val="00DE3104"/>
    <w:rsid w:val="00DF1941"/>
    <w:rsid w:val="00DF76E0"/>
    <w:rsid w:val="00E0100F"/>
    <w:rsid w:val="00E434E9"/>
    <w:rsid w:val="00E46BC4"/>
    <w:rsid w:val="00E9049A"/>
    <w:rsid w:val="00EB3372"/>
    <w:rsid w:val="00ED41C5"/>
    <w:rsid w:val="00F52C13"/>
    <w:rsid w:val="00F72EEA"/>
    <w:rsid w:val="00F84CAE"/>
    <w:rsid w:val="00FB716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E65EF2-40E7-4ED0-A0BE-E7EB7F92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Sajad</cp:lastModifiedBy>
  <cp:revision>29</cp:revision>
  <dcterms:created xsi:type="dcterms:W3CDTF">2017-11-22T13:37:00Z</dcterms:created>
  <dcterms:modified xsi:type="dcterms:W3CDTF">2018-04-30T10:21:00Z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