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B1F" w:rsidRPr="00C62B1F" w:rsidRDefault="00C62B1F" w:rsidP="00C62B1F">
      <w:pPr>
        <w:jc w:val="both"/>
        <w:rPr>
          <w:rStyle w:val="IntenseEmphasis"/>
          <w:rFonts w:ascii="Minion Pro" w:hAnsi="Minion Pro"/>
          <w:i w:val="0"/>
          <w:iCs w:val="0"/>
          <w:sz w:val="36"/>
          <w:szCs w:val="36"/>
        </w:rPr>
      </w:pPr>
      <w:r w:rsidRPr="00C62B1F">
        <w:rPr>
          <w:rStyle w:val="IntenseEmphasis"/>
          <w:rFonts w:ascii="Minion Pro" w:hAnsi="Minion Pro"/>
          <w:i w:val="0"/>
          <w:iCs w:val="0"/>
          <w:sz w:val="36"/>
          <w:szCs w:val="36"/>
        </w:rPr>
        <w:t xml:space="preserve">Investigation of possible pharmacokinetic interaction between </w:t>
      </w:r>
      <w:proofErr w:type="spellStart"/>
      <w:r w:rsidRPr="00C62B1F">
        <w:rPr>
          <w:rStyle w:val="IntenseEmphasis"/>
          <w:rFonts w:ascii="Minion Pro" w:hAnsi="Minion Pro"/>
          <w:i w:val="0"/>
          <w:iCs w:val="0"/>
          <w:sz w:val="36"/>
          <w:szCs w:val="36"/>
        </w:rPr>
        <w:t>ivabradine</w:t>
      </w:r>
      <w:proofErr w:type="spellEnd"/>
      <w:r w:rsidRPr="00C62B1F">
        <w:rPr>
          <w:rStyle w:val="IntenseEmphasis"/>
          <w:rFonts w:ascii="Minion Pro" w:hAnsi="Minion Pro"/>
          <w:i w:val="0"/>
          <w:iCs w:val="0"/>
          <w:sz w:val="36"/>
          <w:szCs w:val="36"/>
        </w:rPr>
        <w:t xml:space="preserve"> and carvedilol in rats using High Performance Liquid Chromatography/Mass Spectroscopy</w:t>
      </w:r>
    </w:p>
    <w:p w:rsidR="00C62B1F" w:rsidRDefault="00C62B1F" w:rsidP="00C62B1F">
      <w:pPr>
        <w:rPr>
          <w:rFonts w:asciiTheme="minorBidi" w:hAnsiTheme="minorBidi" w:cstheme="minorBidi"/>
          <w:sz w:val="18"/>
          <w:szCs w:val="18"/>
          <w:lang w:bidi="ar-JO"/>
        </w:rPr>
      </w:pP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Saif</w:t>
      </w:r>
      <w:proofErr w:type="spellEnd"/>
      <w:r w:rsidRPr="00C62B1F">
        <w:rPr>
          <w:rFonts w:asciiTheme="minorBidi" w:hAnsiTheme="minorBidi" w:cstheme="minorBidi"/>
          <w:sz w:val="18"/>
          <w:szCs w:val="18"/>
          <w:lang w:bidi="ar-JO"/>
        </w:rPr>
        <w:t xml:space="preserve"> S. Abbas</w:t>
      </w:r>
      <w:r>
        <w:rPr>
          <w:rFonts w:asciiTheme="minorBidi" w:hAnsiTheme="minorBidi" w:cstheme="minorBidi"/>
          <w:sz w:val="18"/>
          <w:szCs w:val="18"/>
          <w:lang w:bidi="ar-JO"/>
        </w:rPr>
        <w:t xml:space="preserve"> (</w:t>
      </w:r>
      <w:r w:rsidRPr="00C62B1F">
        <w:rPr>
          <w:rFonts w:asciiTheme="minorBidi" w:hAnsiTheme="minorBidi" w:cstheme="minorBidi"/>
          <w:sz w:val="18"/>
          <w:szCs w:val="18"/>
          <w:lang w:bidi="ar-JO"/>
        </w:rPr>
        <w:t>Al-</w:t>
      </w: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Ahliyya</w:t>
      </w:r>
      <w:proofErr w:type="spellEnd"/>
      <w:r w:rsidRPr="00C62B1F">
        <w:rPr>
          <w:rFonts w:asciiTheme="minorBidi" w:hAnsiTheme="minorBidi" w:cstheme="minorBidi"/>
          <w:sz w:val="18"/>
          <w:szCs w:val="18"/>
          <w:lang w:bidi="ar-JO"/>
        </w:rPr>
        <w:t xml:space="preserve"> Amman University (Amman, Jordan)</w:t>
      </w:r>
    </w:p>
    <w:p w:rsidR="00C62B1F" w:rsidRDefault="00C62B1F" w:rsidP="00C62B1F">
      <w:pPr>
        <w:rPr>
          <w:rFonts w:asciiTheme="minorBidi" w:hAnsiTheme="minorBidi" w:cstheme="minorBidi"/>
          <w:sz w:val="18"/>
          <w:szCs w:val="18"/>
          <w:lang w:bidi="ar-JO"/>
        </w:rPr>
      </w:pP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Israa</w:t>
      </w:r>
      <w:proofErr w:type="spellEnd"/>
      <w:r w:rsidRPr="00C62B1F">
        <w:rPr>
          <w:rFonts w:asciiTheme="minorBidi" w:hAnsiTheme="minorBidi" w:cstheme="minorBidi"/>
          <w:sz w:val="18"/>
          <w:szCs w:val="18"/>
          <w:lang w:bidi="ar-JO"/>
        </w:rPr>
        <w:t xml:space="preserve"> H. Al-Ani</w:t>
      </w:r>
      <w:r>
        <w:rPr>
          <w:rFonts w:asciiTheme="minorBidi" w:hAnsiTheme="minorBidi" w:cstheme="minorBidi"/>
          <w:sz w:val="18"/>
          <w:szCs w:val="18"/>
          <w:vertAlign w:val="superscript"/>
          <w:lang w:bidi="ar-JO"/>
        </w:rPr>
        <w:t xml:space="preserve"> </w:t>
      </w:r>
      <w:r w:rsidRPr="00C62B1F">
        <w:rPr>
          <w:rFonts w:asciiTheme="minorBidi" w:hAnsiTheme="minorBidi" w:cstheme="minorBidi"/>
          <w:sz w:val="18"/>
          <w:szCs w:val="18"/>
          <w:lang w:bidi="ar-JO"/>
        </w:rPr>
        <w:t>Al-</w:t>
      </w: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Ahliyya</w:t>
      </w:r>
      <w:proofErr w:type="spellEnd"/>
      <w:r w:rsidRPr="00C62B1F">
        <w:rPr>
          <w:rFonts w:asciiTheme="minorBidi" w:hAnsiTheme="minorBidi" w:cstheme="minorBidi"/>
          <w:sz w:val="18"/>
          <w:szCs w:val="18"/>
          <w:lang w:bidi="ar-JO"/>
        </w:rPr>
        <w:t xml:space="preserve"> Amman University (Amman, Jordan)</w:t>
      </w:r>
    </w:p>
    <w:p w:rsidR="00C62B1F" w:rsidRPr="00C62B1F" w:rsidRDefault="00C62B1F" w:rsidP="00C62B1F">
      <w:pPr>
        <w:rPr>
          <w:rFonts w:asciiTheme="minorBidi" w:hAnsiTheme="minorBidi" w:cstheme="minorBidi"/>
          <w:sz w:val="18"/>
          <w:szCs w:val="18"/>
          <w:lang w:bidi="ar-JO"/>
        </w:rPr>
      </w:pP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Wael</w:t>
      </w:r>
      <w:proofErr w:type="spellEnd"/>
      <w:r w:rsidRPr="00C62B1F">
        <w:rPr>
          <w:rFonts w:asciiTheme="minorBidi" w:hAnsiTheme="minorBidi" w:cstheme="minorBidi"/>
          <w:sz w:val="18"/>
          <w:szCs w:val="18"/>
          <w:lang w:bidi="ar-JO"/>
        </w:rPr>
        <w:t xml:space="preserve"> A. </w:t>
      </w:r>
      <w:proofErr w:type="spellStart"/>
      <w:r w:rsidRPr="00C62B1F">
        <w:rPr>
          <w:rFonts w:asciiTheme="minorBidi" w:hAnsiTheme="minorBidi" w:cstheme="minorBidi"/>
          <w:sz w:val="18"/>
          <w:szCs w:val="18"/>
          <w:lang w:bidi="ar-JO"/>
        </w:rPr>
        <w:t>AbuDayyih</w:t>
      </w:r>
      <w:proofErr w:type="spellEnd"/>
      <w:r>
        <w:rPr>
          <w:rFonts w:asciiTheme="minorBidi" w:hAnsiTheme="minorBidi" w:cstheme="minorBidi"/>
          <w:sz w:val="18"/>
          <w:szCs w:val="18"/>
          <w:lang w:bidi="ar-JO"/>
        </w:rPr>
        <w:t xml:space="preserve"> (</w:t>
      </w:r>
      <w:r w:rsidRPr="00C62B1F">
        <w:rPr>
          <w:rFonts w:asciiTheme="minorBidi" w:hAnsiTheme="minorBidi" w:cstheme="minorBidi"/>
          <w:sz w:val="18"/>
          <w:szCs w:val="18"/>
          <w:lang w:bidi="ar-JO"/>
        </w:rPr>
        <w:t>University of Petra (Amman, Jordan)</w:t>
      </w:r>
    </w:p>
    <w:p w:rsidR="00C62B1F" w:rsidRPr="00C62B1F" w:rsidRDefault="00C62B1F" w:rsidP="00C62B1F">
      <w:pPr>
        <w:rPr>
          <w:rFonts w:asciiTheme="minorBidi" w:hAnsiTheme="minorBidi" w:cstheme="minorBidi"/>
          <w:sz w:val="18"/>
          <w:szCs w:val="18"/>
          <w:lang w:bidi="ar-JO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62B1F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62B1F" w:rsidRPr="00C62B1F" w:rsidRDefault="00C62B1F" w:rsidP="00C62B1F">
      <w:pPr>
        <w:jc w:val="both"/>
        <w:rPr>
          <w:rFonts w:asciiTheme="majorBidi" w:hAnsiTheme="majorBidi" w:cstheme="majorBidi"/>
          <w:sz w:val="16"/>
          <w:szCs w:val="16"/>
          <w:lang w:bidi="ar-JO"/>
        </w:rPr>
      </w:pPr>
      <w:proofErr w:type="spellStart"/>
      <w:r w:rsidRPr="00C62B1F">
        <w:rPr>
          <w:rFonts w:asciiTheme="majorBidi" w:eastAsia="Times New Roman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eastAsia="Times New Roman" w:hAnsiTheme="majorBidi" w:cstheme="majorBidi"/>
          <w:sz w:val="16"/>
          <w:szCs w:val="16"/>
        </w:rPr>
        <w:t xml:space="preserve"> is a new hyperpolarization-activated cyclic nucleotide-gated channel blocker. It has been approved by the FDA in 2015 in management of stable angina and congestive heart failure. </w:t>
      </w:r>
      <w:r w:rsidRPr="00C62B1F">
        <w:rPr>
          <w:rFonts w:asciiTheme="majorBidi" w:hAnsiTheme="majorBidi" w:cstheme="majorBidi"/>
          <w:sz w:val="16"/>
          <w:szCs w:val="16"/>
          <w:lang w:bidi="ar-JO"/>
        </w:rPr>
        <w:t xml:space="preserve">The aim of this study was to investigate the possibility of pharmacokinetic interaction of a proposed combination of </w:t>
      </w:r>
      <w:proofErr w:type="spellStart"/>
      <w:r w:rsidRPr="00C62B1F">
        <w:rPr>
          <w:rFonts w:asciiTheme="majorBidi" w:hAnsiTheme="majorBidi" w:cstheme="majorBidi"/>
          <w:sz w:val="16"/>
          <w:szCs w:val="16"/>
          <w:lang w:bidi="ar-JO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  <w:lang w:bidi="ar-JO"/>
        </w:rPr>
        <w:t xml:space="preserve"> and the β-blocker carvedilol in rats using spectroscopy technique.</w:t>
      </w:r>
    </w:p>
    <w:p w:rsidR="00C62B1F" w:rsidRPr="00C62B1F" w:rsidRDefault="00C62B1F" w:rsidP="00C62B1F">
      <w:pPr>
        <w:tabs>
          <w:tab w:val="left" w:pos="5638"/>
        </w:tabs>
        <w:jc w:val="both"/>
        <w:rPr>
          <w:rFonts w:asciiTheme="majorBidi" w:hAnsiTheme="majorBidi" w:cstheme="majorBidi"/>
          <w:sz w:val="16"/>
          <w:szCs w:val="16"/>
          <w:lang w:bidi="ar-JO"/>
        </w:rPr>
      </w:pPr>
      <w:r w:rsidRPr="00C62B1F">
        <w:rPr>
          <w:rFonts w:asciiTheme="majorBidi" w:hAnsiTheme="majorBidi" w:cstheme="majorBidi"/>
          <w:sz w:val="16"/>
          <w:szCs w:val="16"/>
          <w:lang w:bidi="ar-JO"/>
        </w:rPr>
        <w:t xml:space="preserve">A simple, rapid and sensitive method for validation and determination of </w:t>
      </w:r>
      <w:proofErr w:type="spellStart"/>
      <w:r w:rsidRPr="00C62B1F">
        <w:rPr>
          <w:rFonts w:asciiTheme="majorBidi" w:hAnsiTheme="majorBidi" w:cstheme="majorBidi"/>
          <w:sz w:val="16"/>
          <w:szCs w:val="16"/>
          <w:lang w:bidi="ar-JO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  <w:lang w:bidi="ar-JO"/>
        </w:rPr>
        <w:t xml:space="preserve"> and carvedilol in the </w:t>
      </w:r>
      <w:proofErr w:type="spellStart"/>
      <w:r w:rsidRPr="00C62B1F">
        <w:rPr>
          <w:rFonts w:asciiTheme="majorBidi" w:hAnsiTheme="majorBidi" w:cstheme="majorBidi"/>
          <w:sz w:val="16"/>
          <w:szCs w:val="16"/>
          <w:lang w:bidi="ar-JO"/>
        </w:rPr>
        <w:t>ratsʼ</w:t>
      </w:r>
      <w:proofErr w:type="spellEnd"/>
      <w:r w:rsidRPr="00C62B1F">
        <w:rPr>
          <w:rFonts w:asciiTheme="majorBidi" w:hAnsiTheme="majorBidi" w:cstheme="majorBidi"/>
          <w:sz w:val="16"/>
          <w:szCs w:val="16"/>
          <w:lang w:bidi="ar-JO"/>
        </w:rPr>
        <w:t xml:space="preserve"> plasma was developed using HPLC/MS. The </w:t>
      </w:r>
      <w:r w:rsidRPr="00C62B1F">
        <w:rPr>
          <w:rFonts w:asciiTheme="majorBidi" w:hAnsiTheme="majorBidi" w:cstheme="majorBidi"/>
          <w:sz w:val="16"/>
          <w:szCs w:val="16"/>
        </w:rPr>
        <w:t xml:space="preserve">method was successfully developed and validated in terms of linearity, precision and accuracy which were within the values accepted by EMEA and ICH. </w:t>
      </w:r>
    </w:p>
    <w:p w:rsidR="00C62B1F" w:rsidRPr="00C62B1F" w:rsidRDefault="00C62B1F" w:rsidP="00C62B1F">
      <w:pPr>
        <w:jc w:val="both"/>
        <w:rPr>
          <w:rFonts w:asciiTheme="majorBidi" w:hAnsiTheme="majorBidi" w:cstheme="majorBidi"/>
          <w:sz w:val="16"/>
          <w:szCs w:val="16"/>
        </w:rPr>
      </w:pP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and carvedilol were given both intravenously and orally each alone and as oral combination to fasted Sprague-Dawley rats. Blood samples were withdrawn on scheduled time intervals up to 36 hours and analyzed for each drug.</w:t>
      </w:r>
    </w:p>
    <w:p w:rsidR="00C62B1F" w:rsidRPr="00C62B1F" w:rsidRDefault="00C62B1F" w:rsidP="00C62B1F">
      <w:pPr>
        <w:jc w:val="both"/>
        <w:rPr>
          <w:rFonts w:asciiTheme="majorBidi" w:hAnsiTheme="majorBidi" w:cstheme="majorBidi"/>
          <w:sz w:val="16"/>
          <w:szCs w:val="16"/>
        </w:rPr>
      </w:pPr>
    </w:p>
    <w:p w:rsidR="00C62B1F" w:rsidRPr="00C62B1F" w:rsidRDefault="00C62B1F" w:rsidP="00C62B1F">
      <w:pPr>
        <w:jc w:val="both"/>
        <w:rPr>
          <w:rFonts w:asciiTheme="majorBidi" w:hAnsiTheme="majorBidi" w:cstheme="majorBidi"/>
          <w:sz w:val="16"/>
          <w:szCs w:val="16"/>
        </w:rPr>
      </w:pPr>
      <w:r w:rsidRPr="00C62B1F">
        <w:rPr>
          <w:rFonts w:asciiTheme="majorBidi" w:hAnsiTheme="majorBidi" w:cstheme="majorBidi"/>
          <w:sz w:val="16"/>
          <w:szCs w:val="16"/>
        </w:rPr>
        <w:t xml:space="preserve">Both compartmental and non-compartmental kinetic </w:t>
      </w:r>
      <w:proofErr w:type="gramStart"/>
      <w:r w:rsidRPr="00C62B1F">
        <w:rPr>
          <w:rFonts w:asciiTheme="majorBidi" w:hAnsiTheme="majorBidi" w:cstheme="majorBidi"/>
          <w:sz w:val="16"/>
          <w:szCs w:val="16"/>
        </w:rPr>
        <w:t>analysis were</w:t>
      </w:r>
      <w:proofErr w:type="gramEnd"/>
      <w:r w:rsidRPr="00C62B1F">
        <w:rPr>
          <w:rFonts w:asciiTheme="majorBidi" w:hAnsiTheme="majorBidi" w:cstheme="majorBidi"/>
          <w:sz w:val="16"/>
          <w:szCs w:val="16"/>
        </w:rPr>
        <w:t xml:space="preserve"> performed on plasma level-time data and the kinetic parameters were calculated from non-compartmental analysis. Results showed significant increase in bioavailability of both drugs in combination (94% for carvedilol and 58% for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. Also,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C</w:t>
      </w:r>
      <w:r w:rsidRPr="00C62B1F">
        <w:rPr>
          <w:rFonts w:asciiTheme="majorBidi" w:hAnsiTheme="majorBidi" w:cstheme="majorBidi"/>
          <w:sz w:val="16"/>
          <w:szCs w:val="16"/>
          <w:vertAlign w:val="subscript"/>
        </w:rPr>
        <w:t>max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was changed significantly from by 165% for carvedilol and 56% for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when given in combination. There was also a significant decrease in elimination of both drugs expressed as 48% decrease in clearance and 41% increase in the half-life for carvedilol and 32% decrease in clearance and 37% increase of the half-life of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when given in combination. These changes suggested an interaction on metabolic function of the liver on both drugs by some kind of enzyme inhibition. Also, the rate of absorption of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was slowed by concomitant administration of carvedilol suggesting an interaction on absorption level. </w:t>
      </w:r>
    </w:p>
    <w:p w:rsidR="00C62B1F" w:rsidRPr="00C62B1F" w:rsidRDefault="00C62B1F" w:rsidP="00C62B1F">
      <w:pPr>
        <w:jc w:val="both"/>
        <w:rPr>
          <w:rFonts w:asciiTheme="majorBidi" w:hAnsiTheme="majorBidi" w:cstheme="majorBidi"/>
          <w:sz w:val="16"/>
          <w:szCs w:val="16"/>
        </w:rPr>
      </w:pPr>
      <w:r w:rsidRPr="00C62B1F">
        <w:rPr>
          <w:rFonts w:asciiTheme="majorBidi" w:hAnsiTheme="majorBidi" w:cstheme="majorBidi"/>
          <w:sz w:val="16"/>
          <w:szCs w:val="16"/>
        </w:rPr>
        <w:t xml:space="preserve">In conclusion, a significant kinetic interaction occurred when </w:t>
      </w:r>
      <w:proofErr w:type="spellStart"/>
      <w:r w:rsidRPr="00C62B1F">
        <w:rPr>
          <w:rFonts w:asciiTheme="majorBidi" w:hAnsiTheme="majorBidi" w:cstheme="majorBidi"/>
          <w:sz w:val="16"/>
          <w:szCs w:val="16"/>
        </w:rPr>
        <w:t>ivabradine</w:t>
      </w:r>
      <w:proofErr w:type="spellEnd"/>
      <w:r w:rsidRPr="00C62B1F">
        <w:rPr>
          <w:rFonts w:asciiTheme="majorBidi" w:hAnsiTheme="majorBidi" w:cstheme="majorBidi"/>
          <w:sz w:val="16"/>
          <w:szCs w:val="16"/>
        </w:rPr>
        <w:t xml:space="preserve"> was given orally with carvedilol which makes dose adjustment of both drugs of much importance.</w:t>
      </w:r>
    </w:p>
    <w:p w:rsidR="00AE3E37" w:rsidRDefault="00A9710C">
      <w:pPr>
        <w:pStyle w:val="Heading3"/>
        <w:spacing w:before="74"/>
      </w:pPr>
      <w:r w:rsidRPr="00C62B1F">
        <w:rPr>
          <w:b w:val="0"/>
          <w:sz w:val="16"/>
          <w:szCs w:val="16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F32F18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48E36" wp14:editId="547086A2">
                <wp:simplePos x="0" y="0"/>
                <wp:positionH relativeFrom="column">
                  <wp:posOffset>99466</wp:posOffset>
                </wp:positionH>
                <wp:positionV relativeFrom="paragraph">
                  <wp:posOffset>19228</wp:posOffset>
                </wp:positionV>
                <wp:extent cx="3223667" cy="2048256"/>
                <wp:effectExtent l="0" t="0" r="1524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667" cy="2048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2F18" w:rsidRDefault="00F32F18" w:rsidP="00F32F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AC6FF7" wp14:editId="2F505270">
                                  <wp:extent cx="3127400" cy="1953159"/>
                                  <wp:effectExtent l="0" t="0" r="0" b="952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0495" cy="19550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85pt;margin-top:1.5pt;width:253.85pt;height:16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">
                <v:textbox>
                  <w:txbxContent>
                    <w:p w:rsidR="00F32F18" w:rsidRDefault="00F32F18" w:rsidP="00F32F18">
                      <w:r>
                        <w:rPr>
                          <w:noProof/>
                        </w:rPr>
                        <w:drawing>
                          <wp:inline distT="0" distB="0" distL="0" distR="0" wp14:anchorId="61AC6FF7" wp14:editId="2F505270">
                            <wp:extent cx="3127400" cy="1953159"/>
                            <wp:effectExtent l="0" t="0" r="0" b="952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0495" cy="19550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32F18" w:rsidRDefault="00F32F1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A1D8B" w:rsidRDefault="007A1D8B" w:rsidP="00F32F18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F32F1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F32F18" w:rsidRPr="00F32F18" w:rsidRDefault="00F32F18" w:rsidP="00F32F18">
      <w:pPr>
        <w:widowControl/>
        <w:numPr>
          <w:ilvl w:val="0"/>
          <w:numId w:val="3"/>
        </w:numPr>
        <w:shd w:val="clear" w:color="auto" w:fill="FFFFFF" w:themeFill="background1"/>
        <w:ind w:right="240"/>
        <w:jc w:val="both"/>
        <w:rPr>
          <w:rFonts w:asciiTheme="majorBidi" w:eastAsia="Times New Roman" w:hAnsiTheme="majorBidi" w:cstheme="majorBidi"/>
          <w:color w:val="000000" w:themeColor="text1"/>
          <w:sz w:val="16"/>
          <w:szCs w:val="16"/>
          <w:shd w:val="clear" w:color="auto" w:fill="FFFFFF"/>
        </w:rPr>
      </w:pP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Bagriy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 xml:space="preserve"> A. E., </w:t>
      </w: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Shchukina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 xml:space="preserve"> E. V., </w:t>
      </w: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Malovichko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 xml:space="preserve"> S. I., </w:t>
      </w: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Prikolota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 xml:space="preserve"> A. V.</w:t>
      </w:r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 (</w:t>
      </w:r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 xml:space="preserve">2013). </w:t>
      </w:r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Addition of </w:t>
      </w:r>
      <w:proofErr w:type="spellStart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>Ivabradine</w:t>
      </w:r>
      <w:proofErr w:type="spellEnd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 to </w:t>
      </w:r>
      <w:proofErr w:type="spellStart"/>
      <w:proofErr w:type="gramStart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>carvdilol</w:t>
      </w:r>
      <w:proofErr w:type="spellEnd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  reduces</w:t>
      </w:r>
      <w:proofErr w:type="gramEnd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 duration  of carvedilol  </w:t>
      </w:r>
      <w:proofErr w:type="spellStart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>uptitration</w:t>
      </w:r>
      <w:proofErr w:type="spellEnd"/>
      <w:r w:rsidRPr="00F32F18">
        <w:rPr>
          <w:rFonts w:asciiTheme="majorBidi" w:eastAsia="Times New Roman" w:hAnsiTheme="majorBidi" w:cstheme="majorBidi"/>
          <w:kern w:val="36"/>
          <w:sz w:val="16"/>
          <w:szCs w:val="16"/>
          <w:bdr w:val="none" w:sz="0" w:space="0" w:color="auto" w:frame="1"/>
        </w:rPr>
        <w:t xml:space="preserve"> and improve  exercise  capacity in patients with chronic heart disease</w:t>
      </w:r>
      <w:r w:rsidRPr="00F32F18">
        <w:rPr>
          <w:rFonts w:asciiTheme="majorBidi" w:eastAsia="Times New Roman" w:hAnsiTheme="majorBidi" w:cstheme="majorBidi"/>
          <w:kern w:val="36"/>
          <w:sz w:val="16"/>
          <w:szCs w:val="16"/>
        </w:rPr>
        <w:t>. </w:t>
      </w:r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J Am CollCardiol.</w:t>
      </w:r>
      <w:proofErr w:type="gram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;61</w:t>
      </w:r>
      <w:proofErr w:type="gram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(10_S):. </w:t>
      </w:r>
      <w:proofErr w:type="gramStart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doi:</w:t>
      </w:r>
      <w:proofErr w:type="gramEnd"/>
      <w:r w:rsidRPr="00F32F18">
        <w:rPr>
          <w:rFonts w:asciiTheme="majorBidi" w:eastAsia="Times New Roman" w:hAnsiTheme="majorBidi" w:cstheme="majorBidi"/>
          <w:sz w:val="16"/>
          <w:szCs w:val="16"/>
          <w:bdr w:val="none" w:sz="0" w:space="0" w:color="auto" w:frame="1"/>
        </w:rPr>
        <w:t>10.1016/S0735-1097(13)60700-7</w:t>
      </w:r>
      <w:r w:rsidRPr="00F32F18">
        <w:rPr>
          <w:rFonts w:asciiTheme="majorBidi" w:eastAsia="Times New Roman" w:hAnsiTheme="majorBidi" w:cstheme="majorBidi"/>
          <w:sz w:val="16"/>
          <w:szCs w:val="16"/>
        </w:rPr>
        <w:t>.</w:t>
      </w:r>
    </w:p>
    <w:p w:rsidR="00F32F18" w:rsidRPr="00F32F18" w:rsidRDefault="00F32F18" w:rsidP="00F32F18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8" w:hanging="283"/>
        <w:rPr>
          <w:sz w:val="18"/>
        </w:rPr>
      </w:pPr>
      <w:hyperlink r:id="rId11" w:history="1">
        <w:proofErr w:type="spellStart"/>
        <w:r w:rsidRPr="00F32F18">
          <w:rPr>
            <w:rFonts w:asciiTheme="majorBidi" w:eastAsiaTheme="minorEastAsia" w:hAnsiTheme="majorBidi" w:cstheme="majorBidi"/>
            <w:sz w:val="16"/>
            <w:szCs w:val="16"/>
          </w:rPr>
          <w:t>Bocchi</w:t>
        </w:r>
        <w:proofErr w:type="spellEnd"/>
        <w:r w:rsidRPr="00F32F18">
          <w:rPr>
            <w:rFonts w:asciiTheme="majorBidi" w:eastAsiaTheme="minorEastAsia" w:hAnsiTheme="majorBidi" w:cstheme="majorBidi"/>
            <w:sz w:val="16"/>
            <w:szCs w:val="16"/>
          </w:rPr>
          <w:t xml:space="preserve"> E. A</w:t>
        </w:r>
      </w:hyperlink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begin"/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instrText xml:space="preserve"> HYPERLINK "https://www.ncbi.nlm.nih.gov/pubmed/?term=B%C3%B6hm%20M%5BAuthor%5D&amp;cauthor=true&amp;cauthor_uid=25968495" </w:instrText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Böhm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M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hyperlink r:id="rId12" w:history="1">
        <w:r w:rsidRPr="00F32F18">
          <w:rPr>
            <w:rFonts w:asciiTheme="majorBidi" w:eastAsiaTheme="minorEastAsia" w:hAnsiTheme="majorBidi" w:cstheme="majorBidi"/>
            <w:sz w:val="16"/>
            <w:szCs w:val="16"/>
          </w:rPr>
          <w:t>Borer J. S</w:t>
        </w:r>
      </w:hyperlink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hyperlink r:id="rId13" w:history="1">
        <w:r w:rsidRPr="00F32F18">
          <w:rPr>
            <w:rFonts w:asciiTheme="majorBidi" w:eastAsiaTheme="minorEastAsia" w:hAnsiTheme="majorBidi" w:cstheme="majorBidi"/>
            <w:sz w:val="16"/>
            <w:szCs w:val="16"/>
          </w:rPr>
          <w:t>Ford I</w:t>
        </w:r>
      </w:hyperlink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begin"/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instrText xml:space="preserve"> HYPERLINK "https://www.ncbi.nlm.nih.gov/pubmed/?term=Komajda%20M%5BAuthor%5D&amp;cauthor=true&amp;cauthor_uid=25968495" </w:instrText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Komajda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M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begin"/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instrText xml:space="preserve"> HYPERLINK "https://www.ncbi.nlm.nih.gov/pubmed/?term=Swedberg%20K%5BAuthor%5D&amp;cauthor=true&amp;cauthor_uid=25968495" </w:instrText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Swedberg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K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begin"/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instrText xml:space="preserve"> HYPERLINK "https://www.ncbi.nlm.nih.gov/pubmed/?term=Tavazzi%20L%5BAuthor%5D&amp;cauthor=true&amp;cauthor_uid=25968495" </w:instrText>
      </w:r>
      <w:r w:rsidRPr="00F32F18">
        <w:rPr>
          <w:rFonts w:asciiTheme="minorHAnsi" w:eastAsiaTheme="minorEastAsia" w:hAnsiTheme="minorHAnsi" w:cstheme="min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Tavazzi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L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. (2015). Effect of Combining 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t>Ivabradine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and β-Blockers: Focus on the Use of Carvedilol in the SHIFT Population.</w:t>
      </w:r>
      <w:hyperlink r:id="rId14" w:tooltip="Cardiology." w:history="1">
        <w:r w:rsidRPr="00F32F18">
          <w:rPr>
            <w:rFonts w:asciiTheme="majorBidi" w:eastAsiaTheme="minorEastAsia" w:hAnsiTheme="majorBidi" w:cstheme="majorBidi"/>
            <w:sz w:val="16"/>
            <w:szCs w:val="16"/>
          </w:rPr>
          <w:t>Cardiology.</w:t>
        </w:r>
      </w:hyperlink>
      <w:r w:rsidRPr="00F32F18">
        <w:rPr>
          <w:rFonts w:asciiTheme="majorBidi" w:eastAsiaTheme="minorEastAsia" w:hAnsiTheme="majorBidi" w:cstheme="majorBidi"/>
          <w:sz w:val="16"/>
          <w:szCs w:val="16"/>
        </w:rPr>
        <w:t>131(4):218-24.</w:t>
      </w:r>
    </w:p>
    <w:p w:rsidR="00F32F18" w:rsidRDefault="00F32F18" w:rsidP="00F32F18">
      <w:pPr>
        <w:widowControl/>
        <w:numPr>
          <w:ilvl w:val="0"/>
          <w:numId w:val="3"/>
        </w:numPr>
        <w:shd w:val="clear" w:color="auto" w:fill="FFFFFF" w:themeFill="background1"/>
        <w:jc w:val="both"/>
        <w:rPr>
          <w:rFonts w:asciiTheme="majorBidi" w:eastAsiaTheme="minorEastAsia" w:hAnsiTheme="majorBidi" w:cstheme="majorBidi"/>
          <w:sz w:val="16"/>
          <w:szCs w:val="16"/>
        </w:rPr>
      </w:pP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t>Custodis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F., 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begin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instrText xml:space="preserve"> HYPERLINK "https://www.ncbi.nlm.nih.gov/pubmed/?term=Schirmer%20SH%5BAuthor%5D&amp;cauthor=true&amp;cauthor_uid=21126638" </w:instrTex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Schirmer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S. H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begin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instrText xml:space="preserve"> HYPERLINK "https://www.ncbi.nlm.nih.gov/pubmed/?term=Baumh%C3%A4kel%20M%5BAuthor%5D&amp;cauthor=true&amp;cauthor_uid=21126638" </w:instrTex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Baumhäkel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M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begin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instrText xml:space="preserve"> HYPERLINK "https://www.ncbi.nlm.nih.gov/pubmed/?term=Heusch%20G%5BAuthor%5D&amp;cauthor=true&amp;cauthor_uid=21126638" </w:instrTex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Heusch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G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begin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instrText xml:space="preserve"> HYPERLINK "https://www.ncbi.nlm.nih.gov/pubmed/?term=B%C3%B6hm%20M%5BAuthor%5D&amp;cauthor=true&amp;cauthor_uid=21126638" </w:instrTex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Böhm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M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., 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begin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instrText xml:space="preserve"> HYPERLINK "https://www.ncbi.nlm.nih.gov/pubmed/?term=Laufs%20U%5BAuthor%5D&amp;cauthor=true&amp;cauthor_uid=21126638" </w:instrTex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separate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>Laufs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U</w:t>
      </w:r>
      <w:r w:rsidRPr="00F32F18">
        <w:rPr>
          <w:rFonts w:asciiTheme="majorBidi" w:eastAsiaTheme="minorEastAsia" w:hAnsiTheme="majorBidi" w:cstheme="majorBidi"/>
          <w:sz w:val="16"/>
          <w:szCs w:val="16"/>
        </w:rPr>
        <w:fldChar w:fldCharType="end"/>
      </w:r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. (2010) </w:t>
      </w:r>
      <w:proofErr w:type="gramStart"/>
      <w:r w:rsidRPr="00F32F18">
        <w:rPr>
          <w:rFonts w:asciiTheme="majorBidi" w:eastAsiaTheme="minorEastAsia" w:hAnsiTheme="majorBidi" w:cstheme="majorBidi"/>
          <w:sz w:val="16"/>
          <w:szCs w:val="16"/>
        </w:rPr>
        <w:t>Vascular</w:t>
      </w:r>
      <w:proofErr w:type="gram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pathophysiology in response to increased heart rate. 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t>JAm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</w:t>
      </w:r>
      <w:proofErr w:type="spellStart"/>
      <w:r w:rsidRPr="00F32F18">
        <w:rPr>
          <w:rFonts w:asciiTheme="majorBidi" w:eastAsiaTheme="minorEastAsia" w:hAnsiTheme="majorBidi" w:cstheme="majorBidi"/>
          <w:sz w:val="16"/>
          <w:szCs w:val="16"/>
        </w:rPr>
        <w:t>Coll</w:t>
      </w:r>
      <w:proofErr w:type="spellEnd"/>
      <w:r w:rsidRPr="00F32F18">
        <w:rPr>
          <w:rFonts w:asciiTheme="majorBidi" w:eastAsiaTheme="minorEastAsia" w:hAnsiTheme="majorBidi" w:cstheme="majorBidi"/>
          <w:sz w:val="16"/>
          <w:szCs w:val="16"/>
        </w:rPr>
        <w:t xml:space="preserve"> Cardiol.56:1973–83</w:t>
      </w:r>
      <w:r>
        <w:rPr>
          <w:rFonts w:asciiTheme="majorBidi" w:eastAsiaTheme="minorEastAsia" w:hAnsiTheme="majorBidi" w:cstheme="majorBidi"/>
          <w:sz w:val="16"/>
          <w:szCs w:val="16"/>
        </w:rPr>
        <w:t>.</w:t>
      </w:r>
    </w:p>
    <w:p w:rsidR="00F32F18" w:rsidRPr="00F32F18" w:rsidRDefault="00F32F18" w:rsidP="00F32F18">
      <w:pPr>
        <w:widowControl/>
        <w:numPr>
          <w:ilvl w:val="0"/>
          <w:numId w:val="3"/>
        </w:numPr>
        <w:shd w:val="clear" w:color="auto" w:fill="FFFFFF" w:themeFill="background1"/>
        <w:jc w:val="both"/>
        <w:rPr>
          <w:rFonts w:asciiTheme="majorBidi" w:eastAsiaTheme="minorEastAsia" w:hAnsiTheme="majorBidi" w:cstheme="majorBidi"/>
          <w:sz w:val="16"/>
          <w:szCs w:val="16"/>
        </w:rPr>
      </w:pPr>
      <w:r w:rsidRPr="00F32F18">
        <w:rPr>
          <w:rFonts w:asciiTheme="majorBidi" w:eastAsia="Times New Roman" w:hAnsiTheme="majorBidi" w:cstheme="majorBidi"/>
          <w:sz w:val="16"/>
          <w:szCs w:val="16"/>
        </w:rPr>
        <w:t xml:space="preserve">Ogawa R. and </w:t>
      </w: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</w:rPr>
        <w:t>Echizen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</w:rPr>
        <w:t xml:space="preserve"> H.</w:t>
      </w:r>
      <w:r w:rsidRPr="00F32F18">
        <w:rPr>
          <w:rFonts w:asciiTheme="majorBidi" w:eastAsia="Times New Roman" w:hAnsiTheme="majorBidi" w:cstheme="majorBidi"/>
          <w:sz w:val="16"/>
          <w:szCs w:val="16"/>
          <w:shd w:val="clear" w:color="auto" w:fill="FFFFFF"/>
        </w:rPr>
        <w:t xml:space="preserve"> (2010). Drug-drug interaction profiles of proton pump </w:t>
      </w:r>
      <w:proofErr w:type="spellStart"/>
      <w:r w:rsidRPr="00F32F18">
        <w:rPr>
          <w:rFonts w:asciiTheme="majorBidi" w:eastAsia="Times New Roman" w:hAnsiTheme="majorBidi" w:cstheme="majorBidi"/>
          <w:sz w:val="16"/>
          <w:szCs w:val="16"/>
          <w:shd w:val="clear" w:color="auto" w:fill="FFFFFF"/>
        </w:rPr>
        <w:t>inhibitors.</w:t>
      </w:r>
      <w:r w:rsidRPr="00F32F18">
        <w:rPr>
          <w:rFonts w:asciiTheme="majorBidi" w:eastAsia="Times New Roman" w:hAnsiTheme="majorBidi" w:cstheme="majorBidi"/>
          <w:sz w:val="16"/>
          <w:szCs w:val="16"/>
        </w:rPr>
        <w:t>ClinPharmacokinet</w:t>
      </w:r>
      <w:proofErr w:type="spellEnd"/>
      <w:r w:rsidRPr="00F32F18">
        <w:rPr>
          <w:rFonts w:asciiTheme="majorBidi" w:eastAsia="Times New Roman" w:hAnsiTheme="majorBidi" w:cstheme="majorBidi"/>
          <w:sz w:val="16"/>
          <w:szCs w:val="16"/>
        </w:rPr>
        <w:t>. 49(8):509-33.</w:t>
      </w:r>
    </w:p>
    <w:p w:rsidR="00F32F18" w:rsidRPr="00F32F18" w:rsidRDefault="00F32F18" w:rsidP="00F32F18">
      <w:pPr>
        <w:widowControl/>
        <w:numPr>
          <w:ilvl w:val="0"/>
          <w:numId w:val="3"/>
        </w:numPr>
        <w:shd w:val="clear" w:color="auto" w:fill="FFFFFF" w:themeFill="background1"/>
        <w:jc w:val="both"/>
        <w:rPr>
          <w:rStyle w:val="apple-style-span"/>
          <w:rFonts w:asciiTheme="majorBidi" w:hAnsiTheme="majorBidi" w:cstheme="majorBidi"/>
          <w:color w:val="000000" w:themeColor="text1"/>
          <w:sz w:val="16"/>
          <w:szCs w:val="16"/>
          <w:lang w:bidi="ar-JO"/>
        </w:rPr>
      </w:pPr>
      <w:r w:rsidRPr="00F32F18">
        <w:rPr>
          <w:rStyle w:val="apple-style-span"/>
          <w:rFonts w:asciiTheme="majorBidi" w:hAnsiTheme="majorBidi" w:cstheme="majorBidi"/>
          <w:color w:val="000000" w:themeColor="text1"/>
          <w:sz w:val="16"/>
          <w:szCs w:val="16"/>
        </w:rPr>
        <w:t xml:space="preserve">Pinto D. S and </w:t>
      </w:r>
      <w:hyperlink r:id="rId15" w:history="1">
        <w:r w:rsidRPr="00E872AE">
          <w:rPr>
            <w:rStyle w:val="Hyperlink"/>
            <w:rFonts w:asciiTheme="majorBidi" w:hAnsiTheme="majorBidi" w:cstheme="majorBidi"/>
            <w:color w:val="auto"/>
            <w:sz w:val="16"/>
            <w:szCs w:val="16"/>
            <w:u w:val="none"/>
          </w:rPr>
          <w:t>Kociol</w:t>
        </w:r>
      </w:hyperlink>
      <w:r w:rsidRPr="00E872AE">
        <w:rPr>
          <w:rFonts w:asciiTheme="majorBidi" w:hAnsiTheme="majorBidi" w:cstheme="majorBidi"/>
          <w:sz w:val="16"/>
          <w:szCs w:val="16"/>
        </w:rPr>
        <w:t xml:space="preserve"> </w:t>
      </w:r>
      <w:r w:rsidRPr="00F32F18">
        <w:rPr>
          <w:rFonts w:asciiTheme="majorBidi" w:hAnsiTheme="majorBidi" w:cstheme="majorBidi"/>
          <w:sz w:val="16"/>
          <w:szCs w:val="16"/>
        </w:rPr>
        <w:t xml:space="preserve">R. D. </w:t>
      </w:r>
      <w:r w:rsidRPr="00F32F18">
        <w:rPr>
          <w:rStyle w:val="apple-style-span"/>
          <w:rFonts w:asciiTheme="majorBidi" w:hAnsiTheme="majorBidi" w:cstheme="majorBidi"/>
          <w:color w:val="000000" w:themeColor="text1"/>
          <w:sz w:val="16"/>
          <w:szCs w:val="16"/>
        </w:rPr>
        <w:t>(2014). Evaluation of acute decompensated heart failure. http://www.uptodate.com/home. Accessed.</w:t>
      </w:r>
    </w:p>
    <w:p w:rsidR="00F32F18" w:rsidRPr="00F32F18" w:rsidRDefault="00F32F18" w:rsidP="00F32F18">
      <w:pPr>
        <w:tabs>
          <w:tab w:val="left" w:pos="384"/>
        </w:tabs>
        <w:spacing w:before="92" w:line="218" w:lineRule="exact"/>
        <w:ind w:left="99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CD50D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C5521">
        <w:rPr>
          <w:noProof/>
        </w:rPr>
        <w:drawing>
          <wp:inline distT="0" distB="0" distL="0" distR="0" wp14:anchorId="36446122" wp14:editId="784F17B3">
            <wp:extent cx="624108" cy="553770"/>
            <wp:effectExtent l="0" t="0" r="5080" b="0"/>
            <wp:docPr id="6" name="Picture 6" descr="C:\Users\uset\Pictures\New folder\sa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t\Pictures\New folder\saif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59" cy="5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CD50DE">
        <w:rPr>
          <w:rFonts w:ascii="Arial"/>
          <w:color w:val="BF5A14"/>
        </w:rPr>
        <w:t xml:space="preserve"> </w:t>
      </w:r>
    </w:p>
    <w:p w:rsidR="00AE3E37" w:rsidRDefault="00CD50DE" w:rsidP="00E76E94">
      <w:pPr>
        <w:pStyle w:val="BodyText"/>
        <w:spacing w:before="2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Saif</w:t>
      </w:r>
      <w:proofErr w:type="spellEnd"/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z w:val="14"/>
        </w:rPr>
        <w:t>alah Abbas is a master degree student in Al-</w:t>
      </w:r>
      <w:proofErr w:type="spellStart"/>
      <w:r>
        <w:rPr>
          <w:rFonts w:ascii="Arial"/>
          <w:sz w:val="14"/>
        </w:rPr>
        <w:t>Ahliyya</w:t>
      </w:r>
      <w:proofErr w:type="spellEnd"/>
      <w:r>
        <w:rPr>
          <w:rFonts w:ascii="Arial"/>
          <w:sz w:val="14"/>
        </w:rPr>
        <w:t xml:space="preserve"> Amman University in Jordan. He graduated from </w:t>
      </w:r>
      <w:r>
        <w:rPr>
          <w:rFonts w:ascii="Arial"/>
          <w:sz w:val="14"/>
        </w:rPr>
        <w:t>Faculty of Pharmacy and Medical Sciences in Al</w:t>
      </w:r>
      <w:r w:rsidR="004F5FCA">
        <w:rPr>
          <w:rFonts w:ascii="Arial"/>
          <w:sz w:val="14"/>
        </w:rPr>
        <w:t>-</w:t>
      </w:r>
      <w:proofErr w:type="spellStart"/>
      <w:r>
        <w:rPr>
          <w:rFonts w:ascii="Arial"/>
          <w:sz w:val="14"/>
        </w:rPr>
        <w:t>Ahliyya</w:t>
      </w:r>
      <w:proofErr w:type="spellEnd"/>
      <w:r>
        <w:rPr>
          <w:rFonts w:ascii="Arial"/>
          <w:sz w:val="14"/>
        </w:rPr>
        <w:t xml:space="preserve"> Amman University/Jordan in 2013. He is finishing his master degree in Pharmaceutics/Pharmacokinetics. He worked as a senior pharmacist in retail pharmacies and drug stores in </w:t>
      </w:r>
      <w:r w:rsidR="00E76E94">
        <w:rPr>
          <w:rFonts w:ascii="Arial"/>
          <w:sz w:val="14"/>
        </w:rPr>
        <w:t>A</w:t>
      </w:r>
      <w:bookmarkStart w:id="0" w:name="_GoBack"/>
      <w:bookmarkEnd w:id="0"/>
      <w:r>
        <w:rPr>
          <w:rFonts w:ascii="Arial"/>
          <w:sz w:val="14"/>
        </w:rPr>
        <w:t>mman/Jordan</w:t>
      </w:r>
    </w:p>
    <w:p w:rsidR="00CD50DE" w:rsidRDefault="004F5FCA" w:rsidP="004F5FCA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Email</w:t>
      </w:r>
      <w:proofErr w:type="gramStart"/>
      <w:r>
        <w:rPr>
          <w:rFonts w:ascii="Arial"/>
          <w:sz w:val="14"/>
        </w:rPr>
        <w:t>:</w:t>
      </w:r>
      <w:proofErr w:type="gramEnd"/>
      <w:hyperlink r:id="rId17" w:history="1">
        <w:r w:rsidRPr="007A1D8B">
          <w:rPr>
            <w:rStyle w:val="Hyperlink"/>
            <w:rFonts w:ascii="Arial"/>
            <w:sz w:val="14"/>
            <w:u w:val="none"/>
          </w:rPr>
          <w:t>saif_s_abbas90@yahoo.com</w:t>
        </w:r>
      </w:hyperlink>
    </w:p>
    <w:p w:rsidR="00CD50DE" w:rsidRDefault="00CD50DE" w:rsidP="00CD50DE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4F5FCA" w:rsidRDefault="004F5FCA" w:rsidP="004F5FCA">
      <w:pPr>
        <w:spacing w:before="39"/>
        <w:ind w:left="100"/>
        <w:rPr>
          <w:rFonts w:ascii="Minion Pro"/>
          <w:b/>
          <w:sz w:val="20"/>
        </w:rPr>
        <w:sectPr w:rsidR="00AE3E37" w:rsidRPr="004F5FC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CA5" w:rsidRDefault="00705CA5">
      <w:r>
        <w:separator/>
      </w:r>
    </w:p>
  </w:endnote>
  <w:endnote w:type="continuationSeparator" w:id="0">
    <w:p w:rsidR="00705CA5" w:rsidRDefault="00705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CA5" w:rsidRDefault="00705CA5">
      <w:r>
        <w:separator/>
      </w:r>
    </w:p>
  </w:footnote>
  <w:footnote w:type="continuationSeparator" w:id="0">
    <w:p w:rsidR="00705CA5" w:rsidRDefault="00705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71E61A6"/>
    <w:multiLevelType w:val="hybridMultilevel"/>
    <w:tmpl w:val="F0C457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90EBF"/>
    <w:rsid w:val="00404E5B"/>
    <w:rsid w:val="00414F7B"/>
    <w:rsid w:val="004355DC"/>
    <w:rsid w:val="004749B4"/>
    <w:rsid w:val="00494130"/>
    <w:rsid w:val="004C5521"/>
    <w:rsid w:val="004F3523"/>
    <w:rsid w:val="004F3CA4"/>
    <w:rsid w:val="004F5FCA"/>
    <w:rsid w:val="005973B9"/>
    <w:rsid w:val="005B3A56"/>
    <w:rsid w:val="006060CE"/>
    <w:rsid w:val="0063497F"/>
    <w:rsid w:val="00705CA5"/>
    <w:rsid w:val="00782399"/>
    <w:rsid w:val="00792B1B"/>
    <w:rsid w:val="007A1D8B"/>
    <w:rsid w:val="00873DF0"/>
    <w:rsid w:val="008756E6"/>
    <w:rsid w:val="009B2D44"/>
    <w:rsid w:val="00A07E82"/>
    <w:rsid w:val="00A9710C"/>
    <w:rsid w:val="00AE3E37"/>
    <w:rsid w:val="00B21A57"/>
    <w:rsid w:val="00C33602"/>
    <w:rsid w:val="00C62B1F"/>
    <w:rsid w:val="00CD50DE"/>
    <w:rsid w:val="00CD6F55"/>
    <w:rsid w:val="00DE3104"/>
    <w:rsid w:val="00E76E94"/>
    <w:rsid w:val="00E872AE"/>
    <w:rsid w:val="00F32F1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C62B1F"/>
    <w:rPr>
      <w:b/>
      <w:bCs/>
      <w:i/>
      <w:iCs/>
      <w:color w:val="4F81BD" w:themeColor="accent1"/>
    </w:rPr>
  </w:style>
  <w:style w:type="character" w:customStyle="1" w:styleId="apple-style-span">
    <w:name w:val="apple-style-span"/>
    <w:basedOn w:val="DefaultParagraphFont"/>
    <w:rsid w:val="00F32F18"/>
  </w:style>
  <w:style w:type="character" w:customStyle="1" w:styleId="apple-converted-space">
    <w:name w:val="apple-converted-space"/>
    <w:basedOn w:val="DefaultParagraphFont"/>
    <w:rsid w:val="00F32F18"/>
  </w:style>
  <w:style w:type="character" w:styleId="Emphasis">
    <w:name w:val="Emphasis"/>
    <w:basedOn w:val="DefaultParagraphFont"/>
    <w:uiPriority w:val="20"/>
    <w:qFormat/>
    <w:rsid w:val="00F32F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C62B1F"/>
    <w:rPr>
      <w:b/>
      <w:bCs/>
      <w:i/>
      <w:iCs/>
      <w:color w:val="4F81BD" w:themeColor="accent1"/>
    </w:rPr>
  </w:style>
  <w:style w:type="character" w:customStyle="1" w:styleId="apple-style-span">
    <w:name w:val="apple-style-span"/>
    <w:basedOn w:val="DefaultParagraphFont"/>
    <w:rsid w:val="00F32F18"/>
  </w:style>
  <w:style w:type="character" w:customStyle="1" w:styleId="apple-converted-space">
    <w:name w:val="apple-converted-space"/>
    <w:basedOn w:val="DefaultParagraphFont"/>
    <w:rsid w:val="00F32F18"/>
  </w:style>
  <w:style w:type="character" w:styleId="Emphasis">
    <w:name w:val="Emphasis"/>
    <w:basedOn w:val="DefaultParagraphFont"/>
    <w:uiPriority w:val="20"/>
    <w:qFormat/>
    <w:rsid w:val="00F32F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?term=Ford%20I%5BAuthor%5D&amp;cauthor=true&amp;cauthor_uid=25968495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Borer%20JS%5BAuthor%5D&amp;cauthor=true&amp;cauthor_uid=25968495" TargetMode="External"/><Relationship Id="rId17" Type="http://schemas.openxmlformats.org/officeDocument/2006/relationships/hyperlink" Target="mailto:saif_s_abbas90@yahoo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Bocchi%20EA%5BAuthor%5D&amp;cauthor=true&amp;cauthor_uid=2596849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ptodate.com/contents/evaluation-of-acute-decompensated-heart-failure/contributors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2596849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uset</cp:lastModifiedBy>
  <cp:revision>4</cp:revision>
  <dcterms:created xsi:type="dcterms:W3CDTF">2017-01-14T10:15:00Z</dcterms:created>
  <dcterms:modified xsi:type="dcterms:W3CDTF">2017-01-14T10:16:00Z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