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9BD" w:rsidRPr="007919BD" w:rsidRDefault="007919BD" w:rsidP="007919BD">
      <w:pPr>
        <w:jc w:val="center"/>
        <w:rPr>
          <w:b/>
          <w:sz w:val="24"/>
          <w:szCs w:val="24"/>
          <w:lang w:val="en-US"/>
        </w:rPr>
      </w:pPr>
      <w:r w:rsidRPr="007919BD">
        <w:rPr>
          <w:b/>
          <w:sz w:val="24"/>
          <w:szCs w:val="24"/>
          <w:lang w:val="en-US"/>
        </w:rPr>
        <w:t xml:space="preserve">Influence of </w:t>
      </w:r>
      <w:proofErr w:type="spellStart"/>
      <w:r w:rsidRPr="007919BD">
        <w:rPr>
          <w:b/>
          <w:sz w:val="24"/>
          <w:szCs w:val="24"/>
          <w:lang w:val="en-US"/>
        </w:rPr>
        <w:t>polyanions</w:t>
      </w:r>
      <w:proofErr w:type="spellEnd"/>
      <w:r w:rsidRPr="007919BD">
        <w:rPr>
          <w:b/>
          <w:sz w:val="24"/>
          <w:szCs w:val="24"/>
          <w:lang w:val="en-US"/>
        </w:rPr>
        <w:t xml:space="preserve"> on the magneto-</w:t>
      </w:r>
      <w:proofErr w:type="spellStart"/>
      <w:r w:rsidRPr="007919BD">
        <w:rPr>
          <w:b/>
          <w:sz w:val="24"/>
          <w:szCs w:val="24"/>
          <w:lang w:val="en-US"/>
        </w:rPr>
        <w:t>dieletric</w:t>
      </w:r>
      <w:proofErr w:type="spellEnd"/>
      <w:r w:rsidRPr="007919BD">
        <w:rPr>
          <w:b/>
          <w:sz w:val="24"/>
          <w:szCs w:val="24"/>
          <w:lang w:val="en-US"/>
        </w:rPr>
        <w:t xml:space="preserve"> properties of iron perovskite type oxides</w:t>
      </w:r>
    </w:p>
    <w:p w:rsidR="007919BD" w:rsidRDefault="007919BD" w:rsidP="007919BD">
      <w:pPr>
        <w:jc w:val="center"/>
        <w:rPr>
          <w:lang w:val="en-US"/>
        </w:rPr>
      </w:pPr>
      <w:r>
        <w:rPr>
          <w:lang w:val="en-US"/>
        </w:rPr>
        <w:t xml:space="preserve">Bréard Yohann, </w:t>
      </w:r>
      <w:proofErr w:type="spellStart"/>
      <w:r>
        <w:rPr>
          <w:lang w:val="en-US"/>
        </w:rPr>
        <w:t>Gonano</w:t>
      </w:r>
      <w:proofErr w:type="spellEnd"/>
      <w:r>
        <w:rPr>
          <w:lang w:val="en-US"/>
        </w:rPr>
        <w:t xml:space="preserve"> Bruno, </w:t>
      </w:r>
      <w:proofErr w:type="spellStart"/>
      <w:r>
        <w:rPr>
          <w:lang w:val="en-US"/>
        </w:rPr>
        <w:t>Marik</w:t>
      </w:r>
      <w:proofErr w:type="spellEnd"/>
      <w:r>
        <w:rPr>
          <w:lang w:val="en-US"/>
        </w:rPr>
        <w:t xml:space="preserve"> </w:t>
      </w:r>
      <w:proofErr w:type="spellStart"/>
      <w:r>
        <w:rPr>
          <w:lang w:val="en-US"/>
        </w:rPr>
        <w:t>Sourav</w:t>
      </w:r>
      <w:proofErr w:type="spellEnd"/>
      <w:r>
        <w:rPr>
          <w:lang w:val="en-US"/>
        </w:rPr>
        <w:t xml:space="preserve"> and </w:t>
      </w:r>
      <w:proofErr w:type="spellStart"/>
      <w:r>
        <w:rPr>
          <w:lang w:val="en-US"/>
        </w:rPr>
        <w:t>Veillon</w:t>
      </w:r>
      <w:proofErr w:type="spellEnd"/>
      <w:r>
        <w:rPr>
          <w:lang w:val="en-US"/>
        </w:rPr>
        <w:t xml:space="preserve"> Fabien</w:t>
      </w:r>
    </w:p>
    <w:p w:rsidR="007919BD" w:rsidRDefault="007919BD" w:rsidP="007919BD">
      <w:pPr>
        <w:jc w:val="center"/>
        <w:rPr>
          <w:lang w:val="en-US"/>
        </w:rPr>
      </w:pPr>
      <w:proofErr w:type="spellStart"/>
      <w:r>
        <w:rPr>
          <w:lang w:val="en-US"/>
        </w:rPr>
        <w:t>Crismat</w:t>
      </w:r>
      <w:proofErr w:type="spellEnd"/>
      <w:r>
        <w:rPr>
          <w:lang w:val="en-US"/>
        </w:rPr>
        <w:t xml:space="preserve"> Laboratory, 6 Boulevard </w:t>
      </w:r>
      <w:proofErr w:type="spellStart"/>
      <w:r>
        <w:rPr>
          <w:lang w:val="en-US"/>
        </w:rPr>
        <w:t>marechal</w:t>
      </w:r>
      <w:proofErr w:type="spellEnd"/>
      <w:r>
        <w:rPr>
          <w:lang w:val="en-US"/>
        </w:rPr>
        <w:t xml:space="preserve"> </w:t>
      </w:r>
      <w:proofErr w:type="spellStart"/>
      <w:r>
        <w:rPr>
          <w:lang w:val="en-US"/>
        </w:rPr>
        <w:t>Juin</w:t>
      </w:r>
      <w:proofErr w:type="spellEnd"/>
      <w:r>
        <w:rPr>
          <w:lang w:val="en-US"/>
        </w:rPr>
        <w:t xml:space="preserve">, 14050 Caen </w:t>
      </w:r>
      <w:proofErr w:type="spellStart"/>
      <w:r>
        <w:rPr>
          <w:lang w:val="en-US"/>
        </w:rPr>
        <w:t>Cedex</w:t>
      </w:r>
      <w:proofErr w:type="spellEnd"/>
      <w:r>
        <w:rPr>
          <w:lang w:val="en-US"/>
        </w:rPr>
        <w:t xml:space="preserve"> 4 France</w:t>
      </w:r>
    </w:p>
    <w:p w:rsidR="007919BD" w:rsidRDefault="007919BD" w:rsidP="007919BD">
      <w:pPr>
        <w:rPr>
          <w:lang w:val="en-US"/>
        </w:rPr>
      </w:pPr>
    </w:p>
    <w:p w:rsidR="007919BD" w:rsidRPr="007919BD" w:rsidRDefault="007919BD" w:rsidP="00EE088D">
      <w:pPr>
        <w:spacing w:line="276" w:lineRule="auto"/>
        <w:jc w:val="both"/>
      </w:pPr>
      <w:r w:rsidRPr="007919BD">
        <w:rPr>
          <w:lang w:val="en-US"/>
        </w:rPr>
        <w:t xml:space="preserve">The properties of materials </w:t>
      </w:r>
      <w:proofErr w:type="gramStart"/>
      <w:r w:rsidRPr="007919BD">
        <w:rPr>
          <w:lang w:val="en-US"/>
        </w:rPr>
        <w:t>are determined</w:t>
      </w:r>
      <w:proofErr w:type="gramEnd"/>
      <w:r w:rsidRPr="007919BD">
        <w:rPr>
          <w:lang w:val="en-US"/>
        </w:rPr>
        <w:t xml:space="preserve"> by their dimensionality but also by the interatomic chemical bonding. It is then of interest to combine effort to control both aspects: chemical and dimensional. The low dimensional transition metal oxides showing 2D magnetic sheets, are of great interest due to their strong magnetic and electronic anisotropies which usually lead to complex phenomena (as spin density waves, superconducting, or step magnetization reversibility to name a few).  Actually, the synthesis of new ceramic or crystal compounds showing peculiar 2D structural framework is definitely of high priority for the generation of new properties or for a better understanding of the interactions responsible of them. </w:t>
      </w:r>
    </w:p>
    <w:p w:rsidR="00D91130" w:rsidRDefault="007919BD" w:rsidP="007919BD">
      <w:pPr>
        <w:spacing w:line="276" w:lineRule="auto"/>
        <w:jc w:val="both"/>
        <w:rPr>
          <w:lang w:val="en-US"/>
        </w:rPr>
      </w:pPr>
      <w:r w:rsidRPr="007919BD">
        <w:rPr>
          <w:lang w:val="en-US"/>
        </w:rPr>
        <w:t xml:space="preserve">The use of voluminous </w:t>
      </w:r>
      <w:proofErr w:type="spellStart"/>
      <w:r w:rsidRPr="007919BD">
        <w:rPr>
          <w:lang w:val="en-US"/>
        </w:rPr>
        <w:t>polyanions</w:t>
      </w:r>
      <w:proofErr w:type="spellEnd"/>
      <w:r w:rsidRPr="007919BD">
        <w:rPr>
          <w:lang w:val="en-US"/>
        </w:rPr>
        <w:t xml:space="preserve"> can leads to original 2D atomic structures - This has been amply demonstrated in </w:t>
      </w:r>
      <w:proofErr w:type="spellStart"/>
      <w:r w:rsidRPr="007919BD">
        <w:rPr>
          <w:lang w:val="en-US"/>
        </w:rPr>
        <w:t>cuprates</w:t>
      </w:r>
      <w:proofErr w:type="spellEnd"/>
      <w:r w:rsidRPr="007919BD">
        <w:rPr>
          <w:lang w:val="en-US"/>
        </w:rPr>
        <w:t xml:space="preserve"> superconductors (</w:t>
      </w:r>
      <w:proofErr w:type="gramStart"/>
      <w:r w:rsidRPr="007919BD">
        <w:rPr>
          <w:lang w:val="en-US"/>
        </w:rPr>
        <w:t>Sr</w:t>
      </w:r>
      <w:r w:rsidRPr="007919BD">
        <w:rPr>
          <w:vertAlign w:val="subscript"/>
          <w:lang w:val="en-US"/>
        </w:rPr>
        <w:t>2</w:t>
      </w:r>
      <w:r w:rsidRPr="007919BD">
        <w:rPr>
          <w:lang w:val="en-US"/>
        </w:rPr>
        <w:t>CuO</w:t>
      </w:r>
      <w:r w:rsidRPr="007919BD">
        <w:rPr>
          <w:vertAlign w:val="subscript"/>
          <w:lang w:val="en-US"/>
        </w:rPr>
        <w:t>2</w:t>
      </w:r>
      <w:r w:rsidRPr="007919BD">
        <w:rPr>
          <w:lang w:val="en-US"/>
        </w:rPr>
        <w:t>(</w:t>
      </w:r>
      <w:proofErr w:type="gramEnd"/>
      <w:r w:rsidRPr="007919BD">
        <w:rPr>
          <w:lang w:val="en-US"/>
        </w:rPr>
        <w:t>CO</w:t>
      </w:r>
      <w:r w:rsidRPr="007919BD">
        <w:rPr>
          <w:vertAlign w:val="subscript"/>
          <w:lang w:val="en-US"/>
        </w:rPr>
        <w:t>3</w:t>
      </w:r>
      <w:r w:rsidRPr="007919BD">
        <w:rPr>
          <w:lang w:val="en-US"/>
        </w:rPr>
        <w:t>), La</w:t>
      </w:r>
      <w:r w:rsidRPr="007919BD">
        <w:rPr>
          <w:vertAlign w:val="subscript"/>
          <w:lang w:val="en-US"/>
        </w:rPr>
        <w:t>1.85</w:t>
      </w:r>
      <w:r w:rsidRPr="007919BD">
        <w:rPr>
          <w:lang w:val="en-US"/>
        </w:rPr>
        <w:t>Sr</w:t>
      </w:r>
      <w:r w:rsidRPr="007919BD">
        <w:rPr>
          <w:vertAlign w:val="subscript"/>
          <w:lang w:val="en-US"/>
        </w:rPr>
        <w:t>0.15</w:t>
      </w:r>
      <w:r w:rsidRPr="007919BD">
        <w:rPr>
          <w:lang w:val="en-US"/>
        </w:rPr>
        <w:t>Cu</w:t>
      </w:r>
      <w:r w:rsidRPr="007919BD">
        <w:rPr>
          <w:vertAlign w:val="subscript"/>
          <w:lang w:val="en-US"/>
        </w:rPr>
        <w:t>1-x</w:t>
      </w:r>
      <w:r w:rsidRPr="007919BD">
        <w:rPr>
          <w:lang w:val="en-US"/>
        </w:rPr>
        <w:t>(SO</w:t>
      </w:r>
      <w:r w:rsidRPr="007919BD">
        <w:rPr>
          <w:vertAlign w:val="subscript"/>
          <w:lang w:val="en-US"/>
        </w:rPr>
        <w:t>4</w:t>
      </w:r>
      <w:r w:rsidRPr="007919BD">
        <w:rPr>
          <w:lang w:val="en-US"/>
        </w:rPr>
        <w:t>)xO</w:t>
      </w:r>
      <w:r w:rsidRPr="007919BD">
        <w:rPr>
          <w:vertAlign w:val="subscript"/>
          <w:lang w:val="en-US"/>
        </w:rPr>
        <w:t>4</w:t>
      </w:r>
      <w:r w:rsidRPr="007919BD">
        <w:rPr>
          <w:lang w:val="en-US"/>
        </w:rPr>
        <w:t xml:space="preserve">)). Paradoxically, few studies </w:t>
      </w:r>
      <w:proofErr w:type="gramStart"/>
      <w:r w:rsidRPr="007919BD">
        <w:rPr>
          <w:lang w:val="en-US"/>
        </w:rPr>
        <w:t>have been conducted</w:t>
      </w:r>
      <w:proofErr w:type="gramEnd"/>
      <w:r w:rsidRPr="007919BD">
        <w:rPr>
          <w:lang w:val="en-US"/>
        </w:rPr>
        <w:t xml:space="preserve"> in mixed </w:t>
      </w:r>
      <w:proofErr w:type="spellStart"/>
      <w:r w:rsidRPr="007919BD">
        <w:rPr>
          <w:lang w:val="en-US"/>
        </w:rPr>
        <w:t>polyanion</w:t>
      </w:r>
      <w:proofErr w:type="spellEnd"/>
      <w:r w:rsidRPr="007919BD">
        <w:rPr>
          <w:lang w:val="en-US"/>
        </w:rPr>
        <w:t xml:space="preserve"> iron oxide systems. We can nevertheless quote the </w:t>
      </w:r>
      <w:bookmarkStart w:id="0" w:name="_GoBack"/>
      <w:bookmarkEnd w:id="0"/>
      <w:proofErr w:type="spellStart"/>
      <w:r w:rsidRPr="007919BD">
        <w:rPr>
          <w:lang w:val="en-US"/>
        </w:rPr>
        <w:t>oxyphosphate</w:t>
      </w:r>
      <w:proofErr w:type="spellEnd"/>
      <w:r w:rsidRPr="007919BD">
        <w:rPr>
          <w:lang w:val="en-US"/>
        </w:rPr>
        <w:t xml:space="preserve"> compound </w:t>
      </w:r>
      <w:proofErr w:type="gramStart"/>
      <w:r w:rsidRPr="007919BD">
        <w:rPr>
          <w:lang w:val="en-US"/>
        </w:rPr>
        <w:t>SrFe</w:t>
      </w:r>
      <w:r w:rsidRPr="007919BD">
        <w:rPr>
          <w:vertAlign w:val="subscript"/>
          <w:lang w:val="en-US"/>
        </w:rPr>
        <w:t>3</w:t>
      </w:r>
      <w:r w:rsidRPr="007919BD">
        <w:rPr>
          <w:lang w:val="en-US"/>
        </w:rPr>
        <w:t>(</w:t>
      </w:r>
      <w:proofErr w:type="gramEnd"/>
      <w:r w:rsidRPr="007919BD">
        <w:rPr>
          <w:lang w:val="en-US"/>
        </w:rPr>
        <w:t>PO</w:t>
      </w:r>
      <w:r w:rsidRPr="007919BD">
        <w:rPr>
          <w:vertAlign w:val="subscript"/>
          <w:lang w:val="en-US"/>
        </w:rPr>
        <w:t>4</w:t>
      </w:r>
      <w:r w:rsidRPr="007919BD">
        <w:rPr>
          <w:lang w:val="en-US"/>
        </w:rPr>
        <w:t xml:space="preserve">)O or the </w:t>
      </w:r>
      <w:proofErr w:type="spellStart"/>
      <w:r w:rsidRPr="007919BD">
        <w:rPr>
          <w:lang w:val="en-US"/>
        </w:rPr>
        <w:t>oxycarbonate</w:t>
      </w:r>
      <w:proofErr w:type="spellEnd"/>
      <w:r w:rsidRPr="007919BD">
        <w:rPr>
          <w:lang w:val="en-US"/>
        </w:rPr>
        <w:t xml:space="preserve"> Sr</w:t>
      </w:r>
      <w:r w:rsidRPr="007919BD">
        <w:rPr>
          <w:vertAlign w:val="subscript"/>
          <w:lang w:val="en-US"/>
        </w:rPr>
        <w:t>4</w:t>
      </w:r>
      <w:r w:rsidRPr="007919BD">
        <w:rPr>
          <w:lang w:val="en-US"/>
        </w:rPr>
        <w:t>Fe</w:t>
      </w:r>
      <w:r w:rsidRPr="007919BD">
        <w:rPr>
          <w:vertAlign w:val="subscript"/>
          <w:lang w:val="en-US"/>
        </w:rPr>
        <w:t>2</w:t>
      </w:r>
      <w:r w:rsidRPr="007919BD">
        <w:rPr>
          <w:lang w:val="en-US"/>
        </w:rPr>
        <w:t>O</w:t>
      </w:r>
      <w:r w:rsidRPr="007919BD">
        <w:rPr>
          <w:vertAlign w:val="subscript"/>
          <w:lang w:val="en-US"/>
        </w:rPr>
        <w:t>6</w:t>
      </w:r>
      <w:r w:rsidRPr="007919BD">
        <w:rPr>
          <w:lang w:val="en-US"/>
        </w:rPr>
        <w:t>(CO</w:t>
      </w:r>
      <w:r w:rsidRPr="007919BD">
        <w:rPr>
          <w:vertAlign w:val="subscript"/>
          <w:lang w:val="en-US"/>
        </w:rPr>
        <w:t>3</w:t>
      </w:r>
      <w:r w:rsidRPr="007919BD">
        <w:rPr>
          <w:lang w:val="en-US"/>
        </w:rPr>
        <w:t xml:space="preserve">), described by </w:t>
      </w:r>
      <w:proofErr w:type="spellStart"/>
      <w:r w:rsidRPr="007919BD">
        <w:rPr>
          <w:lang w:val="en-US"/>
        </w:rPr>
        <w:t>Yamaura</w:t>
      </w:r>
      <w:proofErr w:type="spellEnd"/>
      <w:r w:rsidRPr="007919BD">
        <w:rPr>
          <w:lang w:val="en-US"/>
        </w:rPr>
        <w:t xml:space="preserve"> and Bréard. The latter is an intergrowth between SrFeO</w:t>
      </w:r>
      <w:r w:rsidRPr="007919BD">
        <w:rPr>
          <w:vertAlign w:val="subscript"/>
          <w:lang w:val="en-US"/>
        </w:rPr>
        <w:t>3</w:t>
      </w:r>
      <w:r w:rsidRPr="007919BD">
        <w:rPr>
          <w:lang w:val="en-US"/>
        </w:rPr>
        <w:t xml:space="preserve"> perovskite layers and "rock-salt" </w:t>
      </w:r>
      <w:proofErr w:type="spellStart"/>
      <w:r w:rsidRPr="007919BD">
        <w:rPr>
          <w:lang w:val="en-US"/>
        </w:rPr>
        <w:t>SrO</w:t>
      </w:r>
      <w:proofErr w:type="spellEnd"/>
      <w:r w:rsidRPr="007919BD">
        <w:rPr>
          <w:lang w:val="en-US"/>
        </w:rPr>
        <w:t xml:space="preserve"> layers where FeO6 </w:t>
      </w:r>
      <w:proofErr w:type="spellStart"/>
      <w:r w:rsidRPr="007919BD">
        <w:rPr>
          <w:lang w:val="en-US"/>
        </w:rPr>
        <w:t>octahedra</w:t>
      </w:r>
      <w:proofErr w:type="spellEnd"/>
      <w:r w:rsidRPr="007919BD">
        <w:rPr>
          <w:lang w:val="en-US"/>
        </w:rPr>
        <w:t xml:space="preserve"> of the middle perovskite layer has been replaced by carbonate groups showing the possibility to create intergrowths between carbonates and a transition metal which is not a </w:t>
      </w:r>
      <w:proofErr w:type="spellStart"/>
      <w:r w:rsidRPr="007919BD">
        <w:rPr>
          <w:lang w:val="en-US"/>
        </w:rPr>
        <w:t>Jahn</w:t>
      </w:r>
      <w:proofErr w:type="spellEnd"/>
      <w:r w:rsidRPr="007919BD">
        <w:rPr>
          <w:lang w:val="en-US"/>
        </w:rPr>
        <w:t xml:space="preserve">-Teller element. This substitution strategy has been recently extended to sulfate </w:t>
      </w:r>
      <w:proofErr w:type="gramStart"/>
      <w:r w:rsidRPr="007919BD">
        <w:rPr>
          <w:lang w:val="en-US"/>
        </w:rPr>
        <w:t>anions which</w:t>
      </w:r>
      <w:proofErr w:type="gramEnd"/>
      <w:r w:rsidRPr="007919BD">
        <w:rPr>
          <w:lang w:val="en-US"/>
        </w:rPr>
        <w:t xml:space="preserve"> are also divalent but even larger than carbonates and more electronegative than oxygen and carbonates; They have also a radically different geometry. All these differences lead to different magneto electric behaviors that </w:t>
      </w:r>
      <w:proofErr w:type="gramStart"/>
      <w:r w:rsidRPr="007919BD">
        <w:rPr>
          <w:lang w:val="en-US"/>
        </w:rPr>
        <w:t>will be highlighted</w:t>
      </w:r>
      <w:proofErr w:type="gramEnd"/>
      <w:r w:rsidRPr="007919BD">
        <w:rPr>
          <w:lang w:val="en-US"/>
        </w:rPr>
        <w:t xml:space="preserve"> in the </w:t>
      </w:r>
      <w:r>
        <w:rPr>
          <w:lang w:val="en-US"/>
        </w:rPr>
        <w:t>presentation.</w:t>
      </w:r>
    </w:p>
    <w:p w:rsidR="007919BD" w:rsidRDefault="007919BD" w:rsidP="007919BD">
      <w:pPr>
        <w:spacing w:line="276" w:lineRule="auto"/>
        <w:jc w:val="both"/>
        <w:rPr>
          <w:lang w:val="en-US"/>
        </w:rPr>
      </w:pPr>
      <w:r>
        <w:rPr>
          <w:noProof/>
          <w:lang w:eastAsia="fr-FR"/>
        </w:rPr>
        <w:drawing>
          <wp:anchor distT="0" distB="0" distL="114300" distR="114300" simplePos="0" relativeHeight="251660288" behindDoc="0" locked="0" layoutInCell="1" allowOverlap="1">
            <wp:simplePos x="0" y="0"/>
            <wp:positionH relativeFrom="margin">
              <wp:align>right</wp:align>
            </wp:positionH>
            <wp:positionV relativeFrom="paragraph">
              <wp:posOffset>173990</wp:posOffset>
            </wp:positionV>
            <wp:extent cx="2771463" cy="191389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71463" cy="1913890"/>
                    </a:xfrm>
                    <a:prstGeom prst="rect">
                      <a:avLst/>
                    </a:prstGeom>
                    <a:noFill/>
                  </pic:spPr>
                </pic:pic>
              </a:graphicData>
            </a:graphic>
            <wp14:sizeRelH relativeFrom="margin">
              <wp14:pctWidth>0</wp14:pctWidth>
            </wp14:sizeRelH>
            <wp14:sizeRelV relativeFrom="margin">
              <wp14:pctHeight>0</wp14:pctHeight>
            </wp14:sizeRelV>
          </wp:anchor>
        </w:drawing>
      </w:r>
    </w:p>
    <w:p w:rsidR="007919BD" w:rsidRDefault="007919BD" w:rsidP="007919BD">
      <w:pPr>
        <w:spacing w:line="276" w:lineRule="auto"/>
        <w:jc w:val="both"/>
        <w:rPr>
          <w:lang w:val="en-US"/>
        </w:rPr>
      </w:pPr>
      <w:r>
        <w:rPr>
          <w:noProof/>
          <w:lang w:eastAsia="fr-FR"/>
        </w:rPr>
        <w:drawing>
          <wp:anchor distT="0" distB="0" distL="114300" distR="114300" simplePos="0" relativeHeight="251659264" behindDoc="0" locked="0" layoutInCell="1" allowOverlap="1">
            <wp:simplePos x="0" y="0"/>
            <wp:positionH relativeFrom="column">
              <wp:posOffset>2281555</wp:posOffset>
            </wp:positionH>
            <wp:positionV relativeFrom="paragraph">
              <wp:posOffset>844622</wp:posOffset>
            </wp:positionV>
            <wp:extent cx="371475" cy="201858"/>
            <wp:effectExtent l="0" t="0" r="0" b="825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7449" cy="20510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0" behindDoc="0" locked="0" layoutInCell="1" allowOverlap="1">
            <wp:simplePos x="0" y="0"/>
            <wp:positionH relativeFrom="column">
              <wp:posOffset>2148205</wp:posOffset>
            </wp:positionH>
            <wp:positionV relativeFrom="paragraph">
              <wp:posOffset>935355</wp:posOffset>
            </wp:positionV>
            <wp:extent cx="285750" cy="281703"/>
            <wp:effectExtent l="0" t="0" r="0" b="444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85750" cy="28170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fr-FR"/>
        </w:rPr>
        <w:drawing>
          <wp:inline distT="0" distB="0" distL="0" distR="0" wp14:anchorId="04BC366C" wp14:editId="438088E1">
            <wp:extent cx="2971800" cy="1999341"/>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1731" cy="2019478"/>
                    </a:xfrm>
                    <a:prstGeom prst="rect">
                      <a:avLst/>
                    </a:prstGeom>
                    <a:noFill/>
                  </pic:spPr>
                </pic:pic>
              </a:graphicData>
            </a:graphic>
          </wp:inline>
        </w:drawing>
      </w:r>
    </w:p>
    <w:p w:rsidR="007919BD" w:rsidRDefault="007919BD" w:rsidP="007919BD">
      <w:pPr>
        <w:spacing w:line="276" w:lineRule="auto"/>
        <w:jc w:val="both"/>
        <w:rPr>
          <w:lang w:val="en-US"/>
        </w:rPr>
      </w:pPr>
    </w:p>
    <w:p w:rsidR="007919BD" w:rsidRDefault="007919BD" w:rsidP="007919BD">
      <w:pPr>
        <w:spacing w:line="276" w:lineRule="auto"/>
        <w:jc w:val="both"/>
      </w:pPr>
    </w:p>
    <w:sectPr w:rsidR="007919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9BD"/>
    <w:rsid w:val="007919BD"/>
    <w:rsid w:val="00D91130"/>
    <w:rsid w:val="00EE08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0B747"/>
  <w15:chartTrackingRefBased/>
  <w15:docId w15:val="{4081BB7F-6129-44FC-B47F-3EA5CAFC2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00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309</Words>
  <Characters>1702</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Yohann Bréard</dc:creator>
  <cp:keywords/>
  <dc:description/>
  <cp:lastModifiedBy>Yohann Bréard</cp:lastModifiedBy>
  <cp:revision>1</cp:revision>
  <dcterms:created xsi:type="dcterms:W3CDTF">2019-05-13T05:07:00Z</dcterms:created>
  <dcterms:modified xsi:type="dcterms:W3CDTF">2019-05-13T05:21:00Z</dcterms:modified>
</cp:coreProperties>
</file>