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934" w:rsidRPr="00C44369" w:rsidRDefault="008D02EC" w:rsidP="008D02EC">
      <w:pPr>
        <w:rPr>
          <w:rFonts w:ascii="Georgia" w:hAnsi="Georgia"/>
          <w:color w:val="000000" w:themeColor="text1"/>
          <w:sz w:val="24"/>
          <w:szCs w:val="24"/>
        </w:rPr>
      </w:pPr>
      <w:r w:rsidRPr="008D02EC">
        <w:rPr>
          <w:rFonts w:ascii="Arial" w:eastAsia="Times New Roman" w:hAnsi="Arial" w:cs="Arial"/>
          <w:color w:val="222222"/>
          <w:sz w:val="24"/>
          <w:szCs w:val="24"/>
          <w:shd w:val="clear" w:color="auto" w:fill="FFFFFF"/>
        </w:rPr>
        <w:br/>
      </w:r>
      <w:r w:rsidR="00F41934" w:rsidRPr="00C44369">
        <w:rPr>
          <w:rFonts w:ascii="Georgia" w:hAnsi="Georgia" w:cs="Arial"/>
          <w:sz w:val="24"/>
          <w:szCs w:val="24"/>
          <w:shd w:val="clear" w:color="auto" w:fill="FFFFFF"/>
        </w:rPr>
        <w:t xml:space="preserve">The Europe Advanced </w:t>
      </w:r>
      <w:hyperlink r:id="rId4" w:history="1">
        <w:r w:rsidR="00F41934" w:rsidRPr="00C44369">
          <w:rPr>
            <w:rStyle w:val="Hyperlink"/>
            <w:rFonts w:ascii="Georgia" w:hAnsi="Georgia" w:cs="Arial"/>
            <w:b/>
            <w:color w:val="0070C0"/>
            <w:sz w:val="24"/>
            <w:szCs w:val="24"/>
            <w:shd w:val="clear" w:color="auto" w:fill="FFFFFF"/>
          </w:rPr>
          <w:t>Wound Care</w:t>
        </w:r>
      </w:hyperlink>
      <w:r w:rsidR="00F41934" w:rsidRPr="00C44369">
        <w:rPr>
          <w:rFonts w:ascii="Georgia" w:hAnsi="Georgia" w:cs="Arial"/>
          <w:sz w:val="24"/>
          <w:szCs w:val="24"/>
          <w:shd w:val="clear" w:color="auto" w:fill="FFFFFF"/>
        </w:rPr>
        <w:t xml:space="preserve"> Market is estimated to grow at a </w:t>
      </w:r>
      <w:r w:rsidR="00F41934" w:rsidRPr="00C44369">
        <w:rPr>
          <w:rStyle w:val="Strong"/>
          <w:rFonts w:ascii="Georgia" w:hAnsi="Georgia" w:cs="Arial"/>
          <w:sz w:val="24"/>
          <w:szCs w:val="24"/>
          <w:shd w:val="clear" w:color="auto" w:fill="FFFFFF"/>
        </w:rPr>
        <w:t>CAGR</w:t>
      </w:r>
      <w:r w:rsidR="00F41934" w:rsidRPr="00C44369">
        <w:rPr>
          <w:rFonts w:ascii="Georgia" w:hAnsi="Georgia" w:cs="Arial"/>
          <w:sz w:val="24"/>
          <w:szCs w:val="24"/>
          <w:shd w:val="clear" w:color="auto" w:fill="FFFFFF"/>
        </w:rPr>
        <w:t> of 3.7% from 2014 to 2019. Germany holds the largest share in this market, and is expected to grow at a </w:t>
      </w:r>
      <w:r w:rsidR="00F41934" w:rsidRPr="00C44369">
        <w:rPr>
          <w:rStyle w:val="Strong"/>
          <w:rFonts w:ascii="Georgia" w:hAnsi="Georgia" w:cs="Arial"/>
          <w:sz w:val="24"/>
          <w:szCs w:val="24"/>
          <w:shd w:val="clear" w:color="auto" w:fill="FFFFFF"/>
        </w:rPr>
        <w:t>CAGR</w:t>
      </w:r>
      <w:r w:rsidR="00F41934" w:rsidRPr="00C44369">
        <w:rPr>
          <w:rFonts w:ascii="Georgia" w:hAnsi="Georgia" w:cs="Arial"/>
          <w:sz w:val="24"/>
          <w:szCs w:val="24"/>
          <w:shd w:val="clear" w:color="auto" w:fill="FFFFFF"/>
        </w:rPr>
        <w:t> of 2.9% in the forecast period.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xml:space="preserve">In this report, the Europe advance wound care market has been broadly classified on the basis of application, method, geography, and end-user. The application segment is divided into surgical wounds, ulcers, and other wounds, where ulcers are further segmented into diabetic foot ulcers, venous ulcers, pressure ulcers, and arterial ulcers. The method segment includes dressings and grafts, where dressings are further categorized into antimicrobial dressings, foam dressings, gauze, hydrocolloids collagen, film dressings, hydrogels, composites, alginate dressings; and grafts are further segmented into composite skin grafts and biologic grafts. Biologic grafts include </w:t>
      </w:r>
      <w:proofErr w:type="spellStart"/>
      <w:r w:rsidR="00F41934" w:rsidRPr="00C44369">
        <w:rPr>
          <w:rFonts w:ascii="Georgia" w:hAnsi="Georgia" w:cs="Arial"/>
          <w:sz w:val="24"/>
          <w:szCs w:val="24"/>
          <w:shd w:val="clear" w:color="auto" w:fill="FFFFFF"/>
        </w:rPr>
        <w:t>autografts</w:t>
      </w:r>
      <w:proofErr w:type="spellEnd"/>
      <w:r w:rsidR="00F41934" w:rsidRPr="00C44369">
        <w:rPr>
          <w:rFonts w:ascii="Georgia" w:hAnsi="Georgia" w:cs="Arial"/>
          <w:sz w:val="24"/>
          <w:szCs w:val="24"/>
          <w:shd w:val="clear" w:color="auto" w:fill="FFFFFF"/>
        </w:rPr>
        <w:t xml:space="preserve">, allografts and </w:t>
      </w:r>
      <w:proofErr w:type="spellStart"/>
      <w:r w:rsidR="00F41934" w:rsidRPr="00C44369">
        <w:rPr>
          <w:rFonts w:ascii="Georgia" w:hAnsi="Georgia" w:cs="Arial"/>
          <w:sz w:val="24"/>
          <w:szCs w:val="24"/>
          <w:shd w:val="clear" w:color="auto" w:fill="FFFFFF"/>
        </w:rPr>
        <w:t>xenografts</w:t>
      </w:r>
      <w:proofErr w:type="spellEnd"/>
      <w:r w:rsidR="00F41934" w:rsidRPr="00C44369">
        <w:rPr>
          <w:rFonts w:ascii="Georgia" w:hAnsi="Georgia" w:cs="Arial"/>
          <w:sz w:val="24"/>
          <w:szCs w:val="24"/>
          <w:shd w:val="clear" w:color="auto" w:fill="FFFFFF"/>
        </w:rPr>
        <w:t>. The geography segment includes Germany, U.K., Italy, France, Spain, and Rest of Europe (</w:t>
      </w:r>
      <w:proofErr w:type="spellStart"/>
      <w:r w:rsidR="00F41934" w:rsidRPr="00C44369">
        <w:rPr>
          <w:rFonts w:ascii="Georgia" w:hAnsi="Georgia" w:cs="Arial"/>
          <w:sz w:val="24"/>
          <w:szCs w:val="24"/>
          <w:shd w:val="clear" w:color="auto" w:fill="FFFFFF"/>
        </w:rPr>
        <w:t>RoE</w:t>
      </w:r>
      <w:proofErr w:type="spellEnd"/>
      <w:r w:rsidR="00F41934" w:rsidRPr="00C44369">
        <w:rPr>
          <w:rFonts w:ascii="Georgia" w:hAnsi="Georgia" w:cs="Arial"/>
          <w:sz w:val="24"/>
          <w:szCs w:val="24"/>
          <w:shd w:val="clear" w:color="auto" w:fill="FFFFFF"/>
        </w:rPr>
        <w:t>). The end-user segment includes in-patient facilities and out-patient facilities.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Grafts is the fastest growing segment, which is estimated to grow at the highest </w:t>
      </w:r>
      <w:r w:rsidR="00F41934" w:rsidRPr="00C44369">
        <w:rPr>
          <w:rStyle w:val="Strong"/>
          <w:rFonts w:ascii="Georgia" w:hAnsi="Georgia" w:cs="Arial"/>
          <w:sz w:val="24"/>
          <w:szCs w:val="24"/>
          <w:shd w:val="clear" w:color="auto" w:fill="FFFFFF"/>
        </w:rPr>
        <w:t>CAGR</w:t>
      </w:r>
      <w:r w:rsidR="00F41934" w:rsidRPr="00C44369">
        <w:rPr>
          <w:rFonts w:ascii="Georgia" w:hAnsi="Georgia" w:cs="Arial"/>
          <w:sz w:val="24"/>
          <w:szCs w:val="24"/>
          <w:shd w:val="clear" w:color="auto" w:fill="FFFFFF"/>
        </w:rPr>
        <w:t> from 2014 to 2019. Factors like rising incidences of chronic wounds due to aging population, increasing incidences of diabetes, and a change in lifestyles are driving the growth of this market.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xml:space="preserve">The Europe advanced wound care market is a competitive market with a number of market players. As of 2014, this market is majorly dominated by Smith and Nephew, Plc. (U.K.), </w:t>
      </w:r>
      <w:proofErr w:type="spellStart"/>
      <w:r w:rsidR="00F41934" w:rsidRPr="00C44369">
        <w:rPr>
          <w:rFonts w:ascii="Georgia" w:hAnsi="Georgia" w:cs="Arial"/>
          <w:sz w:val="24"/>
          <w:szCs w:val="24"/>
          <w:shd w:val="clear" w:color="auto" w:fill="FFFFFF"/>
        </w:rPr>
        <w:t>Molyncke</w:t>
      </w:r>
      <w:proofErr w:type="spellEnd"/>
      <w:r w:rsidR="00F41934" w:rsidRPr="00C44369">
        <w:rPr>
          <w:rFonts w:ascii="Georgia" w:hAnsi="Georgia" w:cs="Arial"/>
          <w:sz w:val="24"/>
          <w:szCs w:val="24"/>
          <w:shd w:val="clear" w:color="auto" w:fill="FFFFFF"/>
        </w:rPr>
        <w:t xml:space="preserve"> Health Care (Sweden), and </w:t>
      </w:r>
      <w:proofErr w:type="spellStart"/>
      <w:r w:rsidR="00F41934" w:rsidRPr="00C44369">
        <w:rPr>
          <w:rFonts w:ascii="Georgia" w:hAnsi="Georgia" w:cs="Arial"/>
          <w:sz w:val="24"/>
          <w:szCs w:val="24"/>
          <w:shd w:val="clear" w:color="auto" w:fill="FFFFFF"/>
        </w:rPr>
        <w:t>ConvaTec</w:t>
      </w:r>
      <w:proofErr w:type="spellEnd"/>
      <w:r w:rsidR="00F41934" w:rsidRPr="00C44369">
        <w:rPr>
          <w:rFonts w:ascii="Georgia" w:hAnsi="Georgia" w:cs="Arial"/>
          <w:sz w:val="24"/>
          <w:szCs w:val="24"/>
          <w:shd w:val="clear" w:color="auto" w:fill="FFFFFF"/>
        </w:rPr>
        <w:t>, Inc. (U.S.).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New product launches, partnerships, agreements, collaborations, and joint ventures are the major strategies adopted by most of the market players to achieve growth in this market.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The report provides insights on the following pointers</w:t>
      </w:r>
      <w:proofErr w:type="gramStart"/>
      <w:r w:rsidR="00F41934" w:rsidRPr="00C44369">
        <w:rPr>
          <w:rFonts w:ascii="Georgia" w:hAnsi="Georgia" w:cs="Arial"/>
          <w:sz w:val="24"/>
          <w:szCs w:val="24"/>
          <w:shd w:val="clear" w:color="auto" w:fill="FFFFFF"/>
        </w:rPr>
        <w:t>:</w:t>
      </w:r>
      <w:proofErr w:type="gramEnd"/>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Market Penetration: Comprehensive information on </w:t>
      </w:r>
      <w:r w:rsidR="00F41934" w:rsidRPr="00C44369">
        <w:rPr>
          <w:rStyle w:val="Strong"/>
          <w:rFonts w:ascii="Georgia" w:hAnsi="Georgia" w:cs="Arial"/>
          <w:sz w:val="24"/>
          <w:szCs w:val="24"/>
          <w:shd w:val="clear" w:color="auto" w:fill="FFFFFF"/>
        </w:rPr>
        <w:t>top players</w:t>
      </w:r>
      <w:r w:rsidR="00F41934" w:rsidRPr="00C44369">
        <w:rPr>
          <w:rFonts w:ascii="Georgia" w:hAnsi="Georgia" w:cs="Arial"/>
          <w:sz w:val="24"/>
          <w:szCs w:val="24"/>
          <w:shd w:val="clear" w:color="auto" w:fill="FFFFFF"/>
        </w:rPr>
        <w:t> in the advanced wound care market is provided</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Product Development/Innovation: Detailed insights on upcoming technologies, research and development activities, and new product launches in the advanced wound care market are provided</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Market Development: Comprehensive information about lucrative emerging markets. The report analyzes the markets for various advanced wound care market </w:t>
      </w:r>
      <w:r w:rsidR="00F41934" w:rsidRPr="00C44369">
        <w:rPr>
          <w:rFonts w:ascii="Georgia" w:hAnsi="Georgia" w:cs="Arial"/>
          <w:sz w:val="24"/>
          <w:szCs w:val="24"/>
        </w:rPr>
        <w:br/>
      </w:r>
      <w:r w:rsidR="00F41934" w:rsidRPr="00C44369">
        <w:rPr>
          <w:rFonts w:ascii="Georgia" w:hAnsi="Georgia" w:cs="Arial"/>
          <w:sz w:val="24"/>
          <w:szCs w:val="24"/>
          <w:shd w:val="clear" w:color="auto" w:fill="FFFFFF"/>
        </w:rPr>
        <w:t>across geographies </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lastRenderedPageBreak/>
        <w:t>• Market Diversification: Exhaustive information about new products, untapped geographies, recent developments, and investments in the advanced wound care market is provided</w:t>
      </w:r>
      <w:r w:rsidR="00F41934" w:rsidRPr="00C44369">
        <w:rPr>
          <w:rFonts w:ascii="Georgia" w:hAnsi="Georgia" w:cs="Arial"/>
          <w:sz w:val="24"/>
          <w:szCs w:val="24"/>
        </w:rPr>
        <w:br/>
      </w:r>
      <w:r w:rsidR="00F41934" w:rsidRPr="00C44369">
        <w:rPr>
          <w:rFonts w:ascii="Georgia" w:hAnsi="Georgia" w:cs="Arial"/>
          <w:sz w:val="24"/>
          <w:szCs w:val="24"/>
        </w:rPr>
        <w:br/>
      </w:r>
      <w:r w:rsidR="00F41934" w:rsidRPr="00C44369">
        <w:rPr>
          <w:rFonts w:ascii="Georgia" w:hAnsi="Georgia" w:cs="Arial"/>
          <w:sz w:val="24"/>
          <w:szCs w:val="24"/>
          <w:shd w:val="clear" w:color="auto" w:fill="FFFFFF"/>
        </w:rPr>
        <w:t>• Competitive Assessment: In-depth assessment of market shares, strategies, products, and manufacturing capabilities of leading players in the advanced wound care market is provided</w:t>
      </w:r>
    </w:p>
    <w:p w:rsidR="00F41934" w:rsidRPr="00C44369" w:rsidRDefault="00F41934" w:rsidP="008D02EC">
      <w:pPr>
        <w:rPr>
          <w:rFonts w:ascii="Georgia" w:hAnsi="Georgia" w:cs="Arial"/>
          <w:color w:val="0070C0"/>
          <w:sz w:val="24"/>
          <w:szCs w:val="24"/>
          <w:shd w:val="clear" w:color="auto" w:fill="FFFFFF"/>
        </w:rPr>
      </w:pPr>
      <w:r w:rsidRPr="00C44369">
        <w:rPr>
          <w:rFonts w:ascii="Georgia" w:hAnsi="Georgia" w:cs="Arial"/>
          <w:b/>
          <w:sz w:val="24"/>
          <w:szCs w:val="24"/>
          <w:shd w:val="clear" w:color="auto" w:fill="FFFFFF"/>
        </w:rPr>
        <w:t>Click Here For more information @</w:t>
      </w:r>
      <w:r w:rsidRPr="00C44369">
        <w:rPr>
          <w:rFonts w:ascii="Georgia" w:hAnsi="Georgia" w:cs="Arial"/>
          <w:sz w:val="24"/>
          <w:szCs w:val="24"/>
          <w:shd w:val="clear" w:color="auto" w:fill="FFFFFF"/>
        </w:rPr>
        <w:t xml:space="preserve"> </w:t>
      </w:r>
      <w:hyperlink r:id="rId5" w:history="1">
        <w:r w:rsidRPr="00C44369">
          <w:rPr>
            <w:rStyle w:val="Hyperlink"/>
            <w:rFonts w:ascii="Georgia" w:hAnsi="Georgia" w:cs="Arial"/>
            <w:color w:val="0070C0"/>
            <w:sz w:val="24"/>
            <w:szCs w:val="24"/>
            <w:shd w:val="clear" w:color="auto" w:fill="FFFFFF"/>
          </w:rPr>
          <w:t>https://www.grandresearchstore.com/report-sample/european-advanced-wound-care-market-by-method-dressing-26-graft-by-application-surgical-wound-26-ulcer-by-end-user-in-patient-26-out-patient-facilities-96-analysis-and-forecast-to-20195Cn</w:t>
        </w:r>
      </w:hyperlink>
    </w:p>
    <w:p w:rsidR="00F41934" w:rsidRPr="008366BA" w:rsidRDefault="00F41934" w:rsidP="008D02EC">
      <w:pPr>
        <w:rPr>
          <w:color w:val="000000" w:themeColor="text1"/>
          <w:sz w:val="24"/>
          <w:szCs w:val="24"/>
        </w:rPr>
      </w:pPr>
      <w:bookmarkStart w:id="0" w:name="_GoBack"/>
      <w:bookmarkEnd w:id="0"/>
    </w:p>
    <w:sectPr w:rsidR="00F41934" w:rsidRPr="008366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BA"/>
    <w:rsid w:val="0058017F"/>
    <w:rsid w:val="006E4711"/>
    <w:rsid w:val="008366BA"/>
    <w:rsid w:val="008D02EC"/>
    <w:rsid w:val="00C44369"/>
    <w:rsid w:val="00D332F0"/>
    <w:rsid w:val="00E77373"/>
    <w:rsid w:val="00F41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C695FB-7018-4520-9373-C47E8473F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4b">
    <w:name w:val="_e4b"/>
    <w:basedOn w:val="Normal"/>
    <w:rsid w:val="008366B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66BA"/>
    <w:rPr>
      <w:color w:val="0000FF"/>
      <w:u w:val="single"/>
    </w:rPr>
  </w:style>
  <w:style w:type="character" w:styleId="Strong">
    <w:name w:val="Strong"/>
    <w:basedOn w:val="DefaultParagraphFont"/>
    <w:uiPriority w:val="22"/>
    <w:qFormat/>
    <w:rsid w:val="00F419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562244">
      <w:bodyDiv w:val="1"/>
      <w:marLeft w:val="0"/>
      <w:marRight w:val="0"/>
      <w:marTop w:val="0"/>
      <w:marBottom w:val="0"/>
      <w:divBdr>
        <w:top w:val="none" w:sz="0" w:space="0" w:color="auto"/>
        <w:left w:val="none" w:sz="0" w:space="0" w:color="auto"/>
        <w:bottom w:val="none" w:sz="0" w:space="0" w:color="auto"/>
        <w:right w:val="none" w:sz="0" w:space="0" w:color="auto"/>
      </w:divBdr>
      <w:divsChild>
        <w:div w:id="517695094">
          <w:marLeft w:val="0"/>
          <w:marRight w:val="0"/>
          <w:marTop w:val="0"/>
          <w:marBottom w:val="0"/>
          <w:divBdr>
            <w:top w:val="none" w:sz="0" w:space="0" w:color="auto"/>
            <w:left w:val="none" w:sz="0" w:space="0" w:color="auto"/>
            <w:bottom w:val="none" w:sz="0" w:space="0" w:color="auto"/>
            <w:right w:val="none" w:sz="0" w:space="0" w:color="auto"/>
          </w:divBdr>
        </w:div>
        <w:div w:id="1973711724">
          <w:marLeft w:val="0"/>
          <w:marRight w:val="0"/>
          <w:marTop w:val="0"/>
          <w:marBottom w:val="0"/>
          <w:divBdr>
            <w:top w:val="none" w:sz="0" w:space="0" w:color="auto"/>
            <w:left w:val="none" w:sz="0" w:space="0" w:color="auto"/>
            <w:bottom w:val="none" w:sz="0" w:space="0" w:color="auto"/>
            <w:right w:val="none" w:sz="0" w:space="0" w:color="auto"/>
          </w:divBdr>
        </w:div>
      </w:divsChild>
    </w:div>
    <w:div w:id="363991703">
      <w:bodyDiv w:val="1"/>
      <w:marLeft w:val="0"/>
      <w:marRight w:val="0"/>
      <w:marTop w:val="0"/>
      <w:marBottom w:val="0"/>
      <w:divBdr>
        <w:top w:val="none" w:sz="0" w:space="0" w:color="auto"/>
        <w:left w:val="none" w:sz="0" w:space="0" w:color="auto"/>
        <w:bottom w:val="none" w:sz="0" w:space="0" w:color="auto"/>
        <w:right w:val="none" w:sz="0" w:space="0" w:color="auto"/>
      </w:divBdr>
      <w:divsChild>
        <w:div w:id="1590649612">
          <w:marLeft w:val="0"/>
          <w:marRight w:val="0"/>
          <w:marTop w:val="0"/>
          <w:marBottom w:val="0"/>
          <w:divBdr>
            <w:top w:val="none" w:sz="0" w:space="0" w:color="auto"/>
            <w:left w:val="none" w:sz="0" w:space="0" w:color="auto"/>
            <w:bottom w:val="none" w:sz="0" w:space="0" w:color="auto"/>
            <w:right w:val="none" w:sz="0" w:space="0" w:color="auto"/>
          </w:divBdr>
        </w:div>
        <w:div w:id="1852838523">
          <w:marLeft w:val="0"/>
          <w:marRight w:val="0"/>
          <w:marTop w:val="0"/>
          <w:marBottom w:val="0"/>
          <w:divBdr>
            <w:top w:val="none" w:sz="0" w:space="0" w:color="auto"/>
            <w:left w:val="none" w:sz="0" w:space="0" w:color="auto"/>
            <w:bottom w:val="none" w:sz="0" w:space="0" w:color="auto"/>
            <w:right w:val="none" w:sz="0" w:space="0" w:color="auto"/>
          </w:divBdr>
        </w:div>
      </w:divsChild>
    </w:div>
    <w:div w:id="432550537">
      <w:bodyDiv w:val="1"/>
      <w:marLeft w:val="0"/>
      <w:marRight w:val="0"/>
      <w:marTop w:val="0"/>
      <w:marBottom w:val="0"/>
      <w:divBdr>
        <w:top w:val="none" w:sz="0" w:space="0" w:color="auto"/>
        <w:left w:val="none" w:sz="0" w:space="0" w:color="auto"/>
        <w:bottom w:val="none" w:sz="0" w:space="0" w:color="auto"/>
        <w:right w:val="none" w:sz="0" w:space="0" w:color="auto"/>
      </w:divBdr>
      <w:divsChild>
        <w:div w:id="184293785">
          <w:marLeft w:val="0"/>
          <w:marRight w:val="0"/>
          <w:marTop w:val="0"/>
          <w:marBottom w:val="0"/>
          <w:divBdr>
            <w:top w:val="none" w:sz="0" w:space="0" w:color="auto"/>
            <w:left w:val="none" w:sz="0" w:space="0" w:color="auto"/>
            <w:bottom w:val="none" w:sz="0" w:space="0" w:color="auto"/>
            <w:right w:val="none" w:sz="0" w:space="0" w:color="auto"/>
          </w:divBdr>
        </w:div>
        <w:div w:id="402292722">
          <w:marLeft w:val="0"/>
          <w:marRight w:val="0"/>
          <w:marTop w:val="0"/>
          <w:marBottom w:val="0"/>
          <w:divBdr>
            <w:top w:val="none" w:sz="0" w:space="0" w:color="auto"/>
            <w:left w:val="none" w:sz="0" w:space="0" w:color="auto"/>
            <w:bottom w:val="none" w:sz="0" w:space="0" w:color="auto"/>
            <w:right w:val="none" w:sz="0" w:space="0" w:color="auto"/>
          </w:divBdr>
        </w:div>
      </w:divsChild>
    </w:div>
    <w:div w:id="880290074">
      <w:bodyDiv w:val="1"/>
      <w:marLeft w:val="0"/>
      <w:marRight w:val="0"/>
      <w:marTop w:val="0"/>
      <w:marBottom w:val="0"/>
      <w:divBdr>
        <w:top w:val="none" w:sz="0" w:space="0" w:color="auto"/>
        <w:left w:val="none" w:sz="0" w:space="0" w:color="auto"/>
        <w:bottom w:val="none" w:sz="0" w:space="0" w:color="auto"/>
        <w:right w:val="none" w:sz="0" w:space="0" w:color="auto"/>
      </w:divBdr>
      <w:divsChild>
        <w:div w:id="1297684460">
          <w:marLeft w:val="0"/>
          <w:marRight w:val="0"/>
          <w:marTop w:val="0"/>
          <w:marBottom w:val="0"/>
          <w:divBdr>
            <w:top w:val="none" w:sz="0" w:space="0" w:color="auto"/>
            <w:left w:val="none" w:sz="0" w:space="0" w:color="auto"/>
            <w:bottom w:val="none" w:sz="0" w:space="0" w:color="auto"/>
            <w:right w:val="none" w:sz="0" w:space="0" w:color="auto"/>
          </w:divBdr>
          <w:divsChild>
            <w:div w:id="1134953124">
              <w:marLeft w:val="0"/>
              <w:marRight w:val="0"/>
              <w:marTop w:val="0"/>
              <w:marBottom w:val="0"/>
              <w:divBdr>
                <w:top w:val="none" w:sz="0" w:space="0" w:color="auto"/>
                <w:left w:val="none" w:sz="0" w:space="0" w:color="auto"/>
                <w:bottom w:val="none" w:sz="0" w:space="0" w:color="auto"/>
                <w:right w:val="none" w:sz="0" w:space="0" w:color="auto"/>
              </w:divBdr>
              <w:divsChild>
                <w:div w:id="787429568">
                  <w:marLeft w:val="0"/>
                  <w:marRight w:val="0"/>
                  <w:marTop w:val="0"/>
                  <w:marBottom w:val="0"/>
                  <w:divBdr>
                    <w:top w:val="none" w:sz="0" w:space="0" w:color="auto"/>
                    <w:left w:val="none" w:sz="0" w:space="0" w:color="auto"/>
                    <w:bottom w:val="none" w:sz="0" w:space="0" w:color="auto"/>
                    <w:right w:val="none" w:sz="0" w:space="0" w:color="auto"/>
                  </w:divBdr>
                  <w:divsChild>
                    <w:div w:id="18818565">
                      <w:marLeft w:val="0"/>
                      <w:marRight w:val="0"/>
                      <w:marTop w:val="0"/>
                      <w:marBottom w:val="420"/>
                      <w:divBdr>
                        <w:top w:val="none" w:sz="0" w:space="0" w:color="auto"/>
                        <w:left w:val="none" w:sz="0" w:space="0" w:color="auto"/>
                        <w:bottom w:val="none" w:sz="0" w:space="0" w:color="auto"/>
                        <w:right w:val="none" w:sz="0" w:space="0" w:color="auto"/>
                      </w:divBdr>
                      <w:divsChild>
                        <w:div w:id="617495586">
                          <w:marLeft w:val="0"/>
                          <w:marRight w:val="0"/>
                          <w:marTop w:val="0"/>
                          <w:marBottom w:val="0"/>
                          <w:divBdr>
                            <w:top w:val="none" w:sz="0" w:space="0" w:color="auto"/>
                            <w:left w:val="none" w:sz="0" w:space="0" w:color="auto"/>
                            <w:bottom w:val="none" w:sz="0" w:space="0" w:color="auto"/>
                            <w:right w:val="none" w:sz="0" w:space="0" w:color="auto"/>
                          </w:divBdr>
                          <w:divsChild>
                            <w:div w:id="442266743">
                              <w:marLeft w:val="0"/>
                              <w:marRight w:val="0"/>
                              <w:marTop w:val="0"/>
                              <w:marBottom w:val="0"/>
                              <w:divBdr>
                                <w:top w:val="none" w:sz="0" w:space="0" w:color="auto"/>
                                <w:left w:val="none" w:sz="0" w:space="0" w:color="auto"/>
                                <w:bottom w:val="none" w:sz="0" w:space="0" w:color="auto"/>
                                <w:right w:val="none" w:sz="0" w:space="0" w:color="auto"/>
                              </w:divBdr>
                            </w:div>
                            <w:div w:id="63244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751957">
      <w:bodyDiv w:val="1"/>
      <w:marLeft w:val="0"/>
      <w:marRight w:val="0"/>
      <w:marTop w:val="0"/>
      <w:marBottom w:val="0"/>
      <w:divBdr>
        <w:top w:val="none" w:sz="0" w:space="0" w:color="auto"/>
        <w:left w:val="none" w:sz="0" w:space="0" w:color="auto"/>
        <w:bottom w:val="none" w:sz="0" w:space="0" w:color="auto"/>
        <w:right w:val="none" w:sz="0" w:space="0" w:color="auto"/>
      </w:divBdr>
      <w:divsChild>
        <w:div w:id="589966028">
          <w:marLeft w:val="0"/>
          <w:marRight w:val="0"/>
          <w:marTop w:val="0"/>
          <w:marBottom w:val="0"/>
          <w:divBdr>
            <w:top w:val="none" w:sz="0" w:space="0" w:color="auto"/>
            <w:left w:val="none" w:sz="0" w:space="0" w:color="auto"/>
            <w:bottom w:val="none" w:sz="0" w:space="0" w:color="auto"/>
            <w:right w:val="none" w:sz="0" w:space="0" w:color="auto"/>
          </w:divBdr>
        </w:div>
        <w:div w:id="1540433661">
          <w:marLeft w:val="0"/>
          <w:marRight w:val="0"/>
          <w:marTop w:val="0"/>
          <w:marBottom w:val="0"/>
          <w:divBdr>
            <w:top w:val="none" w:sz="0" w:space="0" w:color="auto"/>
            <w:left w:val="none" w:sz="0" w:space="0" w:color="auto"/>
            <w:bottom w:val="none" w:sz="0" w:space="0" w:color="auto"/>
            <w:right w:val="none" w:sz="0" w:space="0" w:color="auto"/>
          </w:divBdr>
        </w:div>
      </w:divsChild>
    </w:div>
    <w:div w:id="2136674008">
      <w:bodyDiv w:val="1"/>
      <w:marLeft w:val="0"/>
      <w:marRight w:val="0"/>
      <w:marTop w:val="0"/>
      <w:marBottom w:val="0"/>
      <w:divBdr>
        <w:top w:val="none" w:sz="0" w:space="0" w:color="auto"/>
        <w:left w:val="none" w:sz="0" w:space="0" w:color="auto"/>
        <w:bottom w:val="none" w:sz="0" w:space="0" w:color="auto"/>
        <w:right w:val="none" w:sz="0" w:space="0" w:color="auto"/>
      </w:divBdr>
      <w:divsChild>
        <w:div w:id="908005124">
          <w:marLeft w:val="0"/>
          <w:marRight w:val="0"/>
          <w:marTop w:val="0"/>
          <w:marBottom w:val="0"/>
          <w:divBdr>
            <w:top w:val="none" w:sz="0" w:space="0" w:color="auto"/>
            <w:left w:val="none" w:sz="0" w:space="0" w:color="auto"/>
            <w:bottom w:val="none" w:sz="0" w:space="0" w:color="auto"/>
            <w:right w:val="none" w:sz="0" w:space="0" w:color="auto"/>
          </w:divBdr>
        </w:div>
        <w:div w:id="348799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randresearchstore.com/report-sample/european-advanced-wound-care-market-by-method-dressing-26-graft-by-application-surgical-wound-26-ulcer-by-end-user-in-patient-26-out-patient-facilities-96-analysis-and-forecast-to-20195Cn" TargetMode="External"/><Relationship Id="rId4" Type="http://schemas.openxmlformats.org/officeDocument/2006/relationships/hyperlink" Target="https://www.grandresearchstore.com/life-sciences/european-advanced-wound-care-market-by-method-dressing-26-graft-by-application-surgical-wound-26-ulcer-by-end-user-in-patient-26-out-patient-facilities-96-analysis-and-forecast-to-20195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Vaibhav</cp:lastModifiedBy>
  <cp:revision>2</cp:revision>
  <dcterms:created xsi:type="dcterms:W3CDTF">2017-11-29T10:47:00Z</dcterms:created>
  <dcterms:modified xsi:type="dcterms:W3CDTF">2017-11-29T10:47:00Z</dcterms:modified>
</cp:coreProperties>
</file>