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0F2B" w:rsidRDefault="002C0F2B" w:rsidP="001F414A">
      <w:pPr>
        <w:jc w:val="both"/>
        <w:rPr>
          <w:sz w:val="22"/>
          <w:szCs w:val="22"/>
          <w:lang w:val="en-GB"/>
        </w:rPr>
      </w:pPr>
      <w:r>
        <w:rPr>
          <w:sz w:val="22"/>
          <w:szCs w:val="22"/>
          <w:lang w:val="en-GB"/>
        </w:rPr>
        <w:t xml:space="preserve">        </w:t>
      </w:r>
      <w:r w:rsidR="007846AC">
        <w:rPr>
          <w:noProof/>
          <w:sz w:val="22"/>
          <w:szCs w:val="22"/>
          <w:lang w:val="en-US" w:eastAsia="en-US"/>
        </w:rPr>
        <w:drawing>
          <wp:inline distT="0" distB="0" distL="0" distR="0">
            <wp:extent cx="1333500" cy="1778000"/>
            <wp:effectExtent l="0" t="0" r="12700" b="0"/>
            <wp:docPr id="2" name="Picture 2" descr="3x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3x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33500" cy="1778000"/>
                    </a:xfrm>
                    <a:prstGeom prst="rect">
                      <a:avLst/>
                    </a:prstGeom>
                    <a:noFill/>
                    <a:ln>
                      <a:noFill/>
                    </a:ln>
                  </pic:spPr>
                </pic:pic>
              </a:graphicData>
            </a:graphic>
          </wp:inline>
        </w:drawing>
      </w:r>
      <w:r w:rsidR="00890590">
        <w:rPr>
          <w:sz w:val="22"/>
          <w:szCs w:val="22"/>
          <w:lang w:val="en-GB"/>
        </w:rPr>
        <w:t xml:space="preserve"> </w:t>
      </w:r>
      <w:r w:rsidR="00890590">
        <w:rPr>
          <w:noProof/>
          <w:lang w:val="en-US" w:eastAsia="en-US"/>
        </w:rPr>
        <w:tab/>
      </w:r>
      <w:r w:rsidR="00890590">
        <w:rPr>
          <w:noProof/>
          <w:lang w:val="en-US" w:eastAsia="en-US"/>
        </w:rPr>
        <w:tab/>
      </w:r>
      <w:r w:rsidR="00890590">
        <w:rPr>
          <w:noProof/>
          <w:lang w:val="en-US" w:eastAsia="en-US"/>
        </w:rPr>
        <w:tab/>
      </w:r>
      <w:r w:rsidR="00890590">
        <w:rPr>
          <w:noProof/>
          <w:lang w:val="en-US" w:eastAsia="en-US"/>
        </w:rPr>
        <w:tab/>
      </w:r>
      <w:r w:rsidR="00890590">
        <w:rPr>
          <w:noProof/>
          <w:lang w:val="en-US" w:eastAsia="en-US"/>
        </w:rPr>
        <w:tab/>
      </w:r>
      <w:r w:rsidR="00890590">
        <w:rPr>
          <w:noProof/>
          <w:lang w:val="en-US" w:eastAsia="en-US"/>
        </w:rPr>
        <w:tab/>
      </w:r>
      <w:r w:rsidR="00890590">
        <w:rPr>
          <w:noProof/>
          <w:lang w:val="en-US" w:eastAsia="en-US"/>
        </w:rPr>
        <w:tab/>
      </w:r>
      <w:bookmarkStart w:id="0" w:name="_GoBack"/>
      <w:bookmarkEnd w:id="0"/>
      <w:r w:rsidR="007846AC">
        <w:rPr>
          <w:noProof/>
          <w:lang w:val="en-US" w:eastAsia="en-US"/>
        </w:rPr>
        <w:drawing>
          <wp:inline distT="0" distB="0" distL="0" distR="0">
            <wp:extent cx="1257300" cy="1663700"/>
            <wp:effectExtent l="0" t="0" r="12700" b="12700"/>
            <wp:docPr id="3" name="Picture 2" descr="Description: https://encrypted-tbn1.gstatic.com/images?q=tbn:ANd9GcQxw9NxCVBYMEZuBgCihQUiT0KKaS68l_QBQAxeCkahx42s8Gd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https://encrypted-tbn1.gstatic.com/images?q=tbn:ANd9GcQxw9NxCVBYMEZuBgCihQUiT0KKaS68l_QBQAxeCkahx42s8Gdq"/>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57300" cy="1663700"/>
                    </a:xfrm>
                    <a:prstGeom prst="rect">
                      <a:avLst/>
                    </a:prstGeom>
                    <a:noFill/>
                    <a:ln>
                      <a:noFill/>
                    </a:ln>
                  </pic:spPr>
                </pic:pic>
              </a:graphicData>
            </a:graphic>
          </wp:inline>
        </w:drawing>
      </w:r>
    </w:p>
    <w:p w:rsidR="004065A6" w:rsidRDefault="004065A6" w:rsidP="00AC3BCD">
      <w:pPr>
        <w:rPr>
          <w:rFonts w:eastAsia="MS PGothic"/>
          <w:b/>
          <w:color w:val="000000"/>
          <w:sz w:val="28"/>
          <w:szCs w:val="28"/>
          <w:highlight w:val="yellow"/>
        </w:rPr>
      </w:pPr>
    </w:p>
    <w:p w:rsidR="00AC3BCD" w:rsidRPr="00890590" w:rsidRDefault="00AC3BCD" w:rsidP="00AC3BCD">
      <w:pPr>
        <w:rPr>
          <w:rFonts w:eastAsia="MS PGothic"/>
          <w:color w:val="000000"/>
        </w:rPr>
      </w:pPr>
      <w:r w:rsidRPr="00EE29B3">
        <w:rPr>
          <w:rFonts w:eastAsia="MS PGothic"/>
          <w:b/>
          <w:color w:val="000000"/>
          <w:sz w:val="28"/>
          <w:szCs w:val="28"/>
          <w:highlight w:val="yellow"/>
        </w:rPr>
        <w:t>Title:</w:t>
      </w:r>
      <w:r>
        <w:rPr>
          <w:rFonts w:eastAsia="MS PGothic"/>
          <w:b/>
          <w:color w:val="000000"/>
          <w:sz w:val="28"/>
          <w:szCs w:val="28"/>
        </w:rPr>
        <w:t xml:space="preserve"> </w:t>
      </w:r>
      <w:r w:rsidR="00890590">
        <w:rPr>
          <w:rFonts w:eastAsia="MS PGothic"/>
          <w:b/>
          <w:color w:val="000000"/>
          <w:sz w:val="28"/>
          <w:szCs w:val="28"/>
        </w:rPr>
        <w:t xml:space="preserve"> Effectiveness of Magnetic Resonance Imaging in Diagnosis of Liver Iron Overload in Thalassemia-</w:t>
      </w:r>
      <w:r w:rsidR="00890590" w:rsidRPr="00890590">
        <w:rPr>
          <w:rFonts w:ascii="Lucida Grande" w:hAnsi="Lucida Grande" w:cs="Lucida Grande"/>
          <w:b/>
          <w:color w:val="000000"/>
          <w:sz w:val="28"/>
          <w:szCs w:val="28"/>
        </w:rPr>
        <w:t>β</w:t>
      </w:r>
      <w:r w:rsidR="00890590">
        <w:rPr>
          <w:rFonts w:ascii="Lucida Grande" w:hAnsi="Lucida Grande" w:cs="Lucida Grande"/>
          <w:b/>
          <w:color w:val="000000"/>
          <w:sz w:val="28"/>
          <w:szCs w:val="28"/>
        </w:rPr>
        <w:t xml:space="preserve"> </w:t>
      </w:r>
      <w:r w:rsidR="00890590">
        <w:rPr>
          <w:b/>
          <w:color w:val="000000"/>
          <w:sz w:val="28"/>
          <w:szCs w:val="28"/>
        </w:rPr>
        <w:t>Major Patients with Regular Blood Transfusion</w:t>
      </w:r>
    </w:p>
    <w:p w:rsidR="00AC3BCD" w:rsidRDefault="00AC3BCD" w:rsidP="00AC3BCD">
      <w:pPr>
        <w:rPr>
          <w:rFonts w:eastAsia="MS PGothic" w:hAnsi="Arial"/>
          <w:color w:val="000000"/>
        </w:rPr>
      </w:pPr>
      <w:r>
        <w:rPr>
          <w:rFonts w:eastAsia="MS PGothic" w:hAnsi="Arial"/>
          <w:color w:val="000000"/>
        </w:rPr>
        <w:br/>
      </w:r>
      <w:r w:rsidR="00CD70A1">
        <w:rPr>
          <w:b/>
          <w:sz w:val="28"/>
          <w:szCs w:val="28"/>
        </w:rPr>
        <w:t xml:space="preserve"> </w:t>
      </w:r>
      <w:r w:rsidR="00724459" w:rsidRPr="00CD70A1">
        <w:rPr>
          <w:rFonts w:eastAsia="MS PGothic" w:hAnsi="Arial"/>
          <w:color w:val="000000"/>
          <w:highlight w:val="yellow"/>
        </w:rPr>
        <w:t>Author (s)</w:t>
      </w:r>
      <w:r w:rsidR="00724459" w:rsidRPr="00CD70A1">
        <w:rPr>
          <w:b/>
          <w:sz w:val="28"/>
          <w:szCs w:val="28"/>
          <w:highlight w:val="yellow"/>
        </w:rPr>
        <w:t xml:space="preserve"> </w:t>
      </w:r>
      <w:r w:rsidRPr="00CD70A1">
        <w:rPr>
          <w:rFonts w:eastAsia="MS PGothic" w:hAnsi="Arial"/>
          <w:color w:val="000000"/>
          <w:highlight w:val="yellow"/>
        </w:rPr>
        <w:t>Name</w:t>
      </w:r>
      <w:r>
        <w:rPr>
          <w:rFonts w:eastAsia="MS PGothic" w:hAnsi="Arial"/>
          <w:color w:val="000000"/>
        </w:rPr>
        <w:t xml:space="preserve">: </w:t>
      </w:r>
      <w:r w:rsidR="00890590">
        <w:t>Maria Satya Paramitha, Tri Juli Edi Tarigan</w:t>
      </w:r>
    </w:p>
    <w:p w:rsidR="00AC3BCD" w:rsidRDefault="00AC3BCD" w:rsidP="00AC3BCD">
      <w:pPr>
        <w:rPr>
          <w:rFonts w:eastAsia="MS PGothic" w:hAnsi="Arial"/>
          <w:color w:val="000000"/>
        </w:rPr>
      </w:pPr>
      <w:r>
        <w:rPr>
          <w:b/>
          <w:sz w:val="28"/>
          <w:szCs w:val="28"/>
        </w:rPr>
        <w:t xml:space="preserve">                     </w:t>
      </w:r>
      <w:r w:rsidR="00CD70A1">
        <w:rPr>
          <w:b/>
          <w:sz w:val="28"/>
          <w:szCs w:val="28"/>
        </w:rPr>
        <w:t xml:space="preserve">     </w:t>
      </w:r>
      <w:r w:rsidR="00890590">
        <w:rPr>
          <w:rFonts w:eastAsia="MS PGothic" w:hAnsi="Arial"/>
          <w:color w:val="000000"/>
        </w:rPr>
        <w:t>Departement of Internal Medicine, Faculty of Medicine, Universitas Indonesia, Jakarta, Indonesia</w:t>
      </w:r>
    </w:p>
    <w:p w:rsidR="00AC3BCD" w:rsidRDefault="00AC3BCD" w:rsidP="00AC3BCD">
      <w:pPr>
        <w:jc w:val="center"/>
        <w:rPr>
          <w:rFonts w:eastAsia="Batang"/>
          <w:color w:val="0000FF"/>
          <w:sz w:val="36"/>
          <w:szCs w:val="36"/>
        </w:rPr>
      </w:pPr>
    </w:p>
    <w:p w:rsidR="004065A6" w:rsidRPr="00E423D2" w:rsidRDefault="004065A6" w:rsidP="004065A6">
      <w:pPr>
        <w:spacing w:line="276" w:lineRule="auto"/>
        <w:jc w:val="both"/>
        <w:rPr>
          <w:color w:val="000000"/>
        </w:rPr>
      </w:pPr>
      <w:r w:rsidRPr="00E423D2">
        <w:rPr>
          <w:b/>
        </w:rPr>
        <w:t xml:space="preserve">Introduction: </w:t>
      </w:r>
      <w:r w:rsidRPr="00E423D2">
        <w:rPr>
          <w:color w:val="000000"/>
        </w:rPr>
        <w:t>Transfusion-dependent iron overload is a determinant of further complications in patients with conditions requiring regular blood transfusion; such as thalassemia-β major. Currently, liver biopsy is used as a gold standard for measuring liver iron concentration. Magnetic Resonance Imaging (MRI) has been proposed as a non-invasive diagnostic method for measuring liver iron concentration.</w:t>
      </w:r>
    </w:p>
    <w:p w:rsidR="004065A6" w:rsidRPr="00E423D2" w:rsidRDefault="004065A6" w:rsidP="004065A6">
      <w:pPr>
        <w:spacing w:line="276" w:lineRule="auto"/>
        <w:jc w:val="both"/>
      </w:pPr>
      <w:r w:rsidRPr="00E423D2">
        <w:rPr>
          <w:b/>
        </w:rPr>
        <w:t xml:space="preserve">Methods: </w:t>
      </w:r>
      <w:r w:rsidRPr="00E423D2">
        <w:t xml:space="preserve">Literature searching was conducted from Pubmed®, Embase®, and SCOPUS®. One systematic review and meta-analysis article was selected from twelve chosen studies. The article was critically appraised afterwards, using standard criteria for diagnostic research. </w:t>
      </w:r>
    </w:p>
    <w:p w:rsidR="004065A6" w:rsidRPr="00E423D2" w:rsidRDefault="004065A6" w:rsidP="004065A6">
      <w:pPr>
        <w:spacing w:line="276" w:lineRule="auto"/>
        <w:jc w:val="both"/>
      </w:pPr>
      <w:r w:rsidRPr="00E423D2">
        <w:rPr>
          <w:b/>
        </w:rPr>
        <w:t>Results:</w:t>
      </w:r>
      <w:r w:rsidRPr="00E423D2">
        <w:rPr>
          <w:rFonts w:ascii="Times" w:hAnsi="Times" w:cs="Times"/>
        </w:rPr>
        <w:t xml:space="preserve"> </w:t>
      </w:r>
      <w:r w:rsidRPr="00E423D2">
        <w:t>Twenty eligible studies (cohort and case-control) that utilized 1.5-T or higher scanner system as the index test, and liver biopsy as the reference standard were analyzed. In the analysis of T2 SE and T2* GRE, the results obtained were positive predictive values (0.81 and 0.74), negative predictive values (0.83 and 0.88), likelihood ratio positive (8.85 and 4.86), and likelihood ratio negative (0.10 and 0.05); respectively. Meta-regression analysis was conducted to explore heterogeneity between studies.</w:t>
      </w:r>
    </w:p>
    <w:p w:rsidR="004065A6" w:rsidRPr="00E423D2" w:rsidRDefault="004065A6" w:rsidP="004065A6">
      <w:pPr>
        <w:spacing w:line="276" w:lineRule="auto"/>
        <w:jc w:val="both"/>
      </w:pPr>
      <w:r w:rsidRPr="00E423D2">
        <w:rPr>
          <w:b/>
        </w:rPr>
        <w:t xml:space="preserve">Discussion: </w:t>
      </w:r>
      <w:r w:rsidRPr="00E423D2">
        <w:t>In comparison to liver biopsy, MRI is proven to be poorly invasive with the amount of possible sampling errors similar to the gold standard. Although MRI is not considered cannot be used for depicting histological stages, it has been validated as a sensitive and non-invasive diagnostic technique to evaluate tissue iron content.</w:t>
      </w:r>
    </w:p>
    <w:p w:rsidR="004065A6" w:rsidRPr="00E423D2" w:rsidRDefault="004065A6" w:rsidP="004065A6">
      <w:pPr>
        <w:spacing w:line="276" w:lineRule="auto"/>
        <w:jc w:val="both"/>
      </w:pPr>
      <w:r w:rsidRPr="00E423D2">
        <w:rPr>
          <w:b/>
        </w:rPr>
        <w:t xml:space="preserve">Conclusion: </w:t>
      </w:r>
      <w:r w:rsidRPr="00E423D2">
        <w:t>MRI has been proven to be moderately sufficient for ruling in definite diagnosis of liver iron overload and highly sufficient for ruling out diagnosis of the same condition.</w:t>
      </w:r>
    </w:p>
    <w:p w:rsidR="006D47FD" w:rsidRDefault="006D47FD" w:rsidP="006D47FD">
      <w:pPr>
        <w:jc w:val="both"/>
        <w:rPr>
          <w:color w:val="000000"/>
        </w:rPr>
      </w:pPr>
    </w:p>
    <w:p w:rsidR="006D47FD" w:rsidRDefault="006D47FD" w:rsidP="006D47FD">
      <w:pPr>
        <w:jc w:val="both"/>
        <w:rPr>
          <w:color w:val="000000"/>
        </w:rPr>
      </w:pPr>
    </w:p>
    <w:p w:rsidR="006D47FD" w:rsidRDefault="006D47FD" w:rsidP="006D47FD">
      <w:pPr>
        <w:jc w:val="both"/>
        <w:rPr>
          <w:color w:val="000000"/>
        </w:rPr>
      </w:pPr>
    </w:p>
    <w:p w:rsidR="006D47FD" w:rsidRDefault="006D47FD" w:rsidP="006D47FD">
      <w:pPr>
        <w:jc w:val="both"/>
        <w:rPr>
          <w:color w:val="000000"/>
        </w:rPr>
      </w:pPr>
      <w:r w:rsidRPr="006D47FD">
        <w:rPr>
          <w:noProof/>
        </w:rPr>
        <w:t xml:space="preserve"> </w:t>
      </w:r>
    </w:p>
    <w:p w:rsidR="00AC3BCD" w:rsidRDefault="00AC3BCD" w:rsidP="00AC3BCD">
      <w:pPr>
        <w:jc w:val="both"/>
        <w:rPr>
          <w:color w:val="000000"/>
        </w:rPr>
      </w:pPr>
    </w:p>
    <w:p w:rsidR="006D47FD" w:rsidRDefault="006D47FD" w:rsidP="00AC3BCD">
      <w:pPr>
        <w:jc w:val="both"/>
        <w:rPr>
          <w:b/>
          <w:highlight w:val="yellow"/>
        </w:rPr>
      </w:pPr>
    </w:p>
    <w:p w:rsidR="006D47FD" w:rsidRDefault="006D47FD" w:rsidP="00AC3BCD">
      <w:pPr>
        <w:jc w:val="both"/>
        <w:rPr>
          <w:b/>
          <w:highlight w:val="yellow"/>
        </w:rPr>
      </w:pPr>
    </w:p>
    <w:p w:rsidR="006D47FD" w:rsidRDefault="006D47FD" w:rsidP="00AC3BCD">
      <w:pPr>
        <w:jc w:val="both"/>
        <w:rPr>
          <w:b/>
          <w:highlight w:val="yellow"/>
        </w:rPr>
      </w:pPr>
    </w:p>
    <w:p w:rsidR="006D47FD" w:rsidRDefault="006D47FD" w:rsidP="00AC3BCD">
      <w:pPr>
        <w:jc w:val="both"/>
        <w:rPr>
          <w:b/>
          <w:highlight w:val="yellow"/>
        </w:rPr>
      </w:pPr>
    </w:p>
    <w:p w:rsidR="006D47FD" w:rsidRDefault="006D47FD" w:rsidP="00AC3BCD">
      <w:pPr>
        <w:jc w:val="both"/>
        <w:rPr>
          <w:b/>
          <w:highlight w:val="yellow"/>
        </w:rPr>
      </w:pPr>
    </w:p>
    <w:p w:rsidR="006D47FD" w:rsidRDefault="006D47FD" w:rsidP="00AC3BCD">
      <w:pPr>
        <w:jc w:val="both"/>
        <w:rPr>
          <w:b/>
          <w:highlight w:val="yellow"/>
        </w:rPr>
      </w:pPr>
    </w:p>
    <w:p w:rsidR="00AC3BCD" w:rsidRDefault="002256E7" w:rsidP="00AC3BCD">
      <w:pPr>
        <w:jc w:val="both"/>
        <w:rPr>
          <w:b/>
        </w:rPr>
      </w:pPr>
      <w:r w:rsidRPr="002256E7">
        <w:rPr>
          <w:b/>
          <w:highlight w:val="yellow"/>
        </w:rPr>
        <w:t>Biography</w:t>
      </w:r>
    </w:p>
    <w:p w:rsidR="00AC3BCD" w:rsidRDefault="00AC3BCD" w:rsidP="00AC3BCD">
      <w:pPr>
        <w:jc w:val="both"/>
        <w:rPr>
          <w:b/>
        </w:rPr>
      </w:pPr>
    </w:p>
    <w:p w:rsidR="00AC3BCD" w:rsidRDefault="00516DEA" w:rsidP="00AC3BCD">
      <w:pPr>
        <w:jc w:val="both"/>
      </w:pPr>
      <w:r>
        <w:t>The writer is a medical doctor who has completed her undergraduate study in Faculty of Medicine, Universitas Indonesia. She also has completed her postgraduate study with the degree of Master by Research in Cancer from Newcastle University Medical School, the United Kingdom. In this Evidence-Based Case Report, she was superv</w:t>
      </w:r>
      <w:r w:rsidR="00613D75">
        <w:t xml:space="preserve">ised by dr. Tri Juli Edi Tarigan, SpPD-KEMD from Department of Internal Medicine, Metabolic Endocrine Division, Faculty of Medicine, Universitas Indonesia. </w:t>
      </w:r>
    </w:p>
    <w:p w:rsidR="00516DEA" w:rsidRDefault="00516DEA" w:rsidP="00AC3BCD">
      <w:pPr>
        <w:jc w:val="both"/>
      </w:pPr>
    </w:p>
    <w:p w:rsidR="00516DEA" w:rsidRPr="00A41107" w:rsidRDefault="00516DEA" w:rsidP="00AC3BCD">
      <w:pPr>
        <w:jc w:val="both"/>
        <w:rPr>
          <w:rFonts w:eastAsia="MS PGothic"/>
          <w:b/>
          <w:color w:val="000000"/>
          <w:szCs w:val="32"/>
        </w:rPr>
      </w:pPr>
    </w:p>
    <w:p w:rsidR="002256E7" w:rsidRDefault="00072E30" w:rsidP="00AC3BCD">
      <w:pPr>
        <w:autoSpaceDE w:val="0"/>
        <w:autoSpaceDN w:val="0"/>
        <w:adjustRightInd w:val="0"/>
        <w:rPr>
          <w:lang w:val="en-NZ"/>
        </w:rPr>
      </w:pPr>
      <w:r w:rsidRPr="002256E7">
        <w:rPr>
          <w:b/>
          <w:highlight w:val="yellow"/>
          <w:lang w:val="en-NZ"/>
        </w:rPr>
        <w:t>Presenting author</w:t>
      </w:r>
      <w:r w:rsidR="00A41107" w:rsidRPr="002256E7">
        <w:rPr>
          <w:b/>
          <w:highlight w:val="yellow"/>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991FD4">
        <w:rPr>
          <w:lang w:val="en-NZ"/>
        </w:rPr>
        <w:t>Maria Satya Paramitha</w:t>
      </w:r>
      <w:r w:rsidRPr="008A690F">
        <w:rPr>
          <w:lang w:val="en-NZ"/>
        </w:rPr>
        <w:br/>
        <w:t>Contact number:</w:t>
      </w:r>
      <w:r w:rsidR="00991FD4">
        <w:rPr>
          <w:lang w:val="en-NZ"/>
        </w:rPr>
        <w:t xml:space="preserve"> +6281290926890</w:t>
      </w:r>
    </w:p>
    <w:p w:rsidR="002256E7" w:rsidRDefault="002256E7" w:rsidP="00AC3BCD">
      <w:pPr>
        <w:autoSpaceDE w:val="0"/>
        <w:autoSpaceDN w:val="0"/>
        <w:adjustRightInd w:val="0"/>
        <w:rPr>
          <w:lang w:val="en-NZ"/>
        </w:rPr>
      </w:pPr>
      <w:r>
        <w:rPr>
          <w:lang w:val="en-NZ"/>
        </w:rPr>
        <w:t>Email id:</w:t>
      </w:r>
      <w:r w:rsidR="00991FD4">
        <w:rPr>
          <w:lang w:val="en-NZ"/>
        </w:rPr>
        <w:t xml:space="preserve"> maria.satya85@gmail.com</w:t>
      </w:r>
      <w:r w:rsidR="00991FD4">
        <w:rPr>
          <w:lang w:val="en-NZ"/>
        </w:rPr>
        <w:br/>
        <w:t>Category: (Oral presentation/</w:t>
      </w:r>
      <w:r w:rsidR="00AC3BCD" w:rsidRPr="00991FD4">
        <w:rPr>
          <w:b/>
          <w:lang w:val="en-NZ"/>
        </w:rPr>
        <w:t>Poster</w:t>
      </w:r>
      <w:r w:rsidR="00085B88" w:rsidRPr="00991FD4">
        <w:rPr>
          <w:b/>
          <w:lang w:val="en-NZ"/>
        </w:rPr>
        <w:t xml:space="preserve"> presentation</w:t>
      </w:r>
      <w:r w:rsidR="00AC3BCD" w:rsidRPr="008A690F">
        <w:rPr>
          <w:lang w:val="en-NZ"/>
        </w:rPr>
        <w:t>)</w:t>
      </w:r>
    </w:p>
    <w:p w:rsidR="00EC3825" w:rsidRDefault="002256E7" w:rsidP="00AC3BCD">
      <w:pPr>
        <w:autoSpaceDE w:val="0"/>
        <w:autoSpaceDN w:val="0"/>
        <w:adjustRightInd w:val="0"/>
        <w:rPr>
          <w:lang w:val="en-NZ"/>
        </w:rPr>
      </w:pPr>
      <w:r w:rsidRPr="008A690F">
        <w:rPr>
          <w:lang w:val="en-NZ"/>
        </w:rPr>
        <w:t>Session name:</w:t>
      </w:r>
      <w:r w:rsidR="00991FD4">
        <w:rPr>
          <w:lang w:val="en-NZ"/>
        </w:rPr>
        <w:t xml:space="preserve"> Internal Medicine and Patient Care</w:t>
      </w:r>
    </w:p>
    <w:p w:rsidR="00AC3BCD" w:rsidRPr="002256E7" w:rsidRDefault="00EC3825" w:rsidP="00AC3BCD">
      <w:pPr>
        <w:autoSpaceDE w:val="0"/>
        <w:autoSpaceDN w:val="0"/>
        <w:adjustRightInd w:val="0"/>
        <w:rPr>
          <w:b/>
          <w:lang w:val="en-NZ"/>
        </w:rPr>
      </w:pPr>
      <w:r>
        <w:rPr>
          <w:lang w:val="en-NZ"/>
        </w:rPr>
        <w:t xml:space="preserve">Research interest: </w:t>
      </w:r>
      <w:r w:rsidR="00991FD4">
        <w:rPr>
          <w:lang w:val="en-NZ"/>
        </w:rPr>
        <w:t>Hematology in Internal Medicine</w:t>
      </w:r>
      <w:r w:rsidR="00DA581F">
        <w:rPr>
          <w:lang w:val="en-NZ"/>
        </w:rPr>
        <w:br/>
      </w:r>
    </w:p>
    <w:sectPr w:rsidR="00AC3BCD" w:rsidRPr="002256E7" w:rsidSect="006D47FD">
      <w:headerReference w:type="even" r:id="rId11"/>
      <w:headerReference w:type="default" r:id="rId12"/>
      <w:footerReference w:type="even" r:id="rId13"/>
      <w:footerReference w:type="default" r:id="rId14"/>
      <w:headerReference w:type="first" r:id="rId15"/>
      <w:footerReference w:type="first" r:id="rId16"/>
      <w:pgSz w:w="11906" w:h="16838"/>
      <w:pgMar w:top="851" w:right="1134" w:bottom="284" w:left="1134"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25C9" w:rsidRDefault="007025C9" w:rsidP="00671A59">
      <w:r>
        <w:separator/>
      </w:r>
    </w:p>
  </w:endnote>
  <w:endnote w:type="continuationSeparator" w:id="0">
    <w:p w:rsidR="007025C9" w:rsidRDefault="007025C9"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Gautami">
    <w:panose1 w:val="00000000000000000000"/>
    <w:charset w:val="01"/>
    <w:family w:val="roman"/>
    <w:notTrueType/>
    <w:pitch w:val="variable"/>
  </w:font>
  <w:font w:name="Calibri Light">
    <w:charset w:val="00"/>
    <w:family w:val="swiss"/>
    <w:pitch w:val="variable"/>
    <w:sig w:usb0="E0002AFF" w:usb1="C000247B" w:usb2="00000009" w:usb3="00000000" w:csb0="000001FF" w:csb1="00000000"/>
  </w:font>
  <w:font w:name="Tahoma">
    <w:panose1 w:val="020B0604030504040204"/>
    <w:charset w:val="00"/>
    <w:family w:val="auto"/>
    <w:pitch w:val="variable"/>
    <w:sig w:usb0="E1002AFF" w:usb1="C000605B" w:usb2="00000029" w:usb3="00000000" w:csb0="000101FF" w:csb1="00000000"/>
  </w:font>
  <w:font w:name="MS PGothic">
    <w:charset w:val="80"/>
    <w:family w:val="swiss"/>
    <w:pitch w:val="variable"/>
    <w:sig w:usb0="E00002FF" w:usb1="6AC7FDFB" w:usb2="08000012" w:usb3="00000000" w:csb0="0002009F" w:csb1="00000000"/>
  </w:font>
  <w:font w:name="Lucida Grande">
    <w:altName w:val="Times New Roman"/>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Batang">
    <w:altName w:val="바탕"/>
    <w:charset w:val="81"/>
    <w:family w:val="roman"/>
    <w:pitch w:val="variable"/>
    <w:sig w:usb0="B00002AF" w:usb1="69D77CFB" w:usb2="00000030" w:usb3="00000000" w:csb0="0008009F" w:csb1="00000000"/>
  </w:font>
  <w:font w:name="Times">
    <w:panose1 w:val="02000500000000000000"/>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6DEA" w:rsidRDefault="00516DEA">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6DEA" w:rsidRDefault="00516DEA">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6DEA" w:rsidRDefault="00516DEA">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25C9" w:rsidRDefault="007025C9" w:rsidP="00671A59">
      <w:r>
        <w:separator/>
      </w:r>
    </w:p>
  </w:footnote>
  <w:footnote w:type="continuationSeparator" w:id="0">
    <w:p w:rsidR="007025C9" w:rsidRDefault="007025C9" w:rsidP="00671A5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6DEA" w:rsidRDefault="00516DEA">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6DEA" w:rsidRDefault="007846AC">
    <w:pPr>
      <w:pStyle w:val="Header"/>
    </w:pPr>
    <w:r>
      <w:rPr>
        <w:noProof/>
        <w:lang w:val="en-US" w:eastAsia="en-US" w:bidi="ar-SA"/>
      </w:rPr>
      <w:drawing>
        <wp:inline distT="0" distB="0" distL="0" distR="0">
          <wp:extent cx="6311900" cy="825500"/>
          <wp:effectExtent l="0" t="0" r="12700" b="12700"/>
          <wp:docPr id="1" name="Picture 1"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11900" cy="825500"/>
                  </a:xfrm>
                  <a:prstGeom prst="rect">
                    <a:avLst/>
                  </a:prstGeom>
                  <a:noFill/>
                  <a:ln>
                    <a:noFill/>
                  </a:ln>
                </pic:spPr>
              </pic:pic>
            </a:graphicData>
          </a:graphic>
        </wp:inline>
      </w:drawing>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6DEA" w:rsidRDefault="00516DEA">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DB3AF36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676"/>
    <w:rsid w:val="00023D76"/>
    <w:rsid w:val="00072E30"/>
    <w:rsid w:val="00085B88"/>
    <w:rsid w:val="00090564"/>
    <w:rsid w:val="00097CA5"/>
    <w:rsid w:val="000A4C72"/>
    <w:rsid w:val="000C48FA"/>
    <w:rsid w:val="000E7A02"/>
    <w:rsid w:val="00101A04"/>
    <w:rsid w:val="00106952"/>
    <w:rsid w:val="001216E5"/>
    <w:rsid w:val="0013563F"/>
    <w:rsid w:val="00145878"/>
    <w:rsid w:val="001A411C"/>
    <w:rsid w:val="001B1336"/>
    <w:rsid w:val="001B6DE6"/>
    <w:rsid w:val="001B7237"/>
    <w:rsid w:val="001F414A"/>
    <w:rsid w:val="00205354"/>
    <w:rsid w:val="002256E7"/>
    <w:rsid w:val="002659F1"/>
    <w:rsid w:val="00270EC9"/>
    <w:rsid w:val="00292DC0"/>
    <w:rsid w:val="002B18D5"/>
    <w:rsid w:val="002C0F2B"/>
    <w:rsid w:val="003753DD"/>
    <w:rsid w:val="003A4429"/>
    <w:rsid w:val="004065A6"/>
    <w:rsid w:val="004775E3"/>
    <w:rsid w:val="0049217F"/>
    <w:rsid w:val="004A262E"/>
    <w:rsid w:val="004A2CA1"/>
    <w:rsid w:val="004B3B30"/>
    <w:rsid w:val="00505DA1"/>
    <w:rsid w:val="00516DEA"/>
    <w:rsid w:val="00531255"/>
    <w:rsid w:val="005408D9"/>
    <w:rsid w:val="00555DAD"/>
    <w:rsid w:val="00562A7E"/>
    <w:rsid w:val="005B168A"/>
    <w:rsid w:val="005C2EA1"/>
    <w:rsid w:val="005C3848"/>
    <w:rsid w:val="005D43ED"/>
    <w:rsid w:val="00605142"/>
    <w:rsid w:val="00612C13"/>
    <w:rsid w:val="00613D75"/>
    <w:rsid w:val="006511AA"/>
    <w:rsid w:val="00671A59"/>
    <w:rsid w:val="00691F82"/>
    <w:rsid w:val="006B463C"/>
    <w:rsid w:val="006C51B8"/>
    <w:rsid w:val="006D47FD"/>
    <w:rsid w:val="006F0C5C"/>
    <w:rsid w:val="007025C9"/>
    <w:rsid w:val="00724459"/>
    <w:rsid w:val="007258AA"/>
    <w:rsid w:val="00740307"/>
    <w:rsid w:val="00743CCA"/>
    <w:rsid w:val="00746319"/>
    <w:rsid w:val="0077612A"/>
    <w:rsid w:val="007846AC"/>
    <w:rsid w:val="007875D1"/>
    <w:rsid w:val="00790C29"/>
    <w:rsid w:val="007F0333"/>
    <w:rsid w:val="007F46B0"/>
    <w:rsid w:val="00800D58"/>
    <w:rsid w:val="00834D93"/>
    <w:rsid w:val="00862283"/>
    <w:rsid w:val="00882CB3"/>
    <w:rsid w:val="00890590"/>
    <w:rsid w:val="008A3E9A"/>
    <w:rsid w:val="008A690F"/>
    <w:rsid w:val="008E7776"/>
    <w:rsid w:val="00901E5B"/>
    <w:rsid w:val="00970E67"/>
    <w:rsid w:val="009821B4"/>
    <w:rsid w:val="00991FD4"/>
    <w:rsid w:val="009A6AD9"/>
    <w:rsid w:val="009B0CCF"/>
    <w:rsid w:val="009B7F4F"/>
    <w:rsid w:val="009D3EA4"/>
    <w:rsid w:val="009E6632"/>
    <w:rsid w:val="009E6C61"/>
    <w:rsid w:val="00A31D17"/>
    <w:rsid w:val="00A41107"/>
    <w:rsid w:val="00A443F2"/>
    <w:rsid w:val="00A50066"/>
    <w:rsid w:val="00A668A1"/>
    <w:rsid w:val="00A76E81"/>
    <w:rsid w:val="00A83688"/>
    <w:rsid w:val="00A83863"/>
    <w:rsid w:val="00AC3BCD"/>
    <w:rsid w:val="00AD6315"/>
    <w:rsid w:val="00AF4356"/>
    <w:rsid w:val="00B26097"/>
    <w:rsid w:val="00B27625"/>
    <w:rsid w:val="00B675D9"/>
    <w:rsid w:val="00BF5676"/>
    <w:rsid w:val="00C53152"/>
    <w:rsid w:val="00CD70A1"/>
    <w:rsid w:val="00CE08A2"/>
    <w:rsid w:val="00CE3A09"/>
    <w:rsid w:val="00D367E3"/>
    <w:rsid w:val="00DA2249"/>
    <w:rsid w:val="00DA581F"/>
    <w:rsid w:val="00DC29A1"/>
    <w:rsid w:val="00DC7405"/>
    <w:rsid w:val="00DD3006"/>
    <w:rsid w:val="00DE2102"/>
    <w:rsid w:val="00E119D1"/>
    <w:rsid w:val="00E713DA"/>
    <w:rsid w:val="00E85CF8"/>
    <w:rsid w:val="00EB353E"/>
    <w:rsid w:val="00EC3825"/>
    <w:rsid w:val="00ED51D7"/>
    <w:rsid w:val="00EE1DF0"/>
    <w:rsid w:val="00EE29B3"/>
    <w:rsid w:val="00F01887"/>
    <w:rsid w:val="00F04F87"/>
    <w:rsid w:val="00F13FA7"/>
    <w:rsid w:val="00F215A7"/>
    <w:rsid w:val="00F42DCF"/>
    <w:rsid w:val="00F709F5"/>
    <w:rsid w:val="00F779A6"/>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Note Level 1" w:unhideWhenUsed="0"/>
    <w:lsdException w:name="Note Level 2" w:semiHidden="0" w:uiPriority="1" w:unhideWhenUsed="0" w:qFormat="1"/>
    <w:lsdException w:name="Note Level 3" w:semiHidden="0" w:uiPriority="60" w:unhideWhenUsed="0"/>
    <w:lsdException w:name="Note Level 4" w:semiHidden="0" w:uiPriority="61" w:unhideWhenUsed="0"/>
    <w:lsdException w:name="Note Level 5" w:semiHidden="0" w:uiPriority="62" w:unhideWhenUsed="0"/>
    <w:lsdException w:name="Note Level 6" w:semiHidden="0" w:uiPriority="63" w:unhideWhenUsed="0"/>
    <w:lsdException w:name="Note Level 7" w:semiHidden="0" w:uiPriority="64" w:unhideWhenUsed="0"/>
    <w:lsdException w:name="Note Level 8" w:semiHidden="0" w:uiPriority="65" w:unhideWhenUsed="0"/>
    <w:lsdException w:name="Note Level 9" w:semiHidden="0" w:uiPriority="66"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41" w:unhideWhenUsed="0"/>
    <w:lsdException w:name="Colorful Grid Accent 6" w:semiHidden="0" w:uiPriority="42" w:unhideWhenUsed="0"/>
    <w:lsdException w:name="Subtle Emphasis" w:semiHidden="0" w:uiPriority="43" w:unhideWhenUsed="0"/>
    <w:lsdException w:name="Intense Emphasis" w:semiHidden="0" w:uiPriority="44" w:unhideWhenUsed="0"/>
    <w:lsdException w:name="Subtle Reference" w:semiHidden="0" w:uiPriority="45" w:unhideWhenUsed="0"/>
    <w:lsdException w:name="Intense Reference" w:semiHidden="0" w:uiPriority="40" w:unhideWhenUsed="0"/>
    <w:lsdException w:name="Book Title" w:semiHidden="0" w:uiPriority="46" w:unhideWhenUsed="0"/>
    <w:lsdException w:name="Bibliography" w:semiHidden="0" w:uiPriority="47" w:unhideWhenUsed="0"/>
    <w:lsdException w:name="TOC Heading" w:semiHidden="0" w:uiPriority="48" w:unhideWhenUsed="0"/>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2">
    <w:name w:val="heading 2"/>
    <w:basedOn w:val="Normal"/>
    <w:next w:val="Normal"/>
    <w:link w:val="Heading2Char"/>
    <w:uiPriority w:val="9"/>
    <w:semiHidden/>
    <w:unhideWhenUsed/>
    <w:qFormat/>
    <w:rsid w:val="006D47FD"/>
    <w:pPr>
      <w:keepNext/>
      <w:spacing w:before="240" w:after="60"/>
      <w:outlineLvl w:val="1"/>
    </w:pPr>
    <w:rPr>
      <w:rFonts w:ascii="Calibri Light" w:hAnsi="Calibri Light"/>
      <w:b/>
      <w:bCs/>
      <w:i/>
      <w:iCs/>
      <w:sz w:val="28"/>
      <w:szCs w:val="28"/>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character" w:customStyle="1" w:styleId="Heading2Char">
    <w:name w:val="Heading 2 Char"/>
    <w:link w:val="Heading2"/>
    <w:uiPriority w:val="9"/>
    <w:semiHidden/>
    <w:rsid w:val="006D47FD"/>
    <w:rPr>
      <w:rFonts w:ascii="Calibri Light" w:eastAsia="Times New Roman" w:hAnsi="Calibri Light" w:cs="Times New Roman"/>
      <w:b/>
      <w:bCs/>
      <w:i/>
      <w:iCs/>
      <w:sz w:val="28"/>
      <w:szCs w:val="28"/>
      <w:lang w:val="it-IT" w:eastAsia="it-I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Note Level 1" w:unhideWhenUsed="0"/>
    <w:lsdException w:name="Note Level 2" w:semiHidden="0" w:uiPriority="1" w:unhideWhenUsed="0" w:qFormat="1"/>
    <w:lsdException w:name="Note Level 3" w:semiHidden="0" w:uiPriority="60" w:unhideWhenUsed="0"/>
    <w:lsdException w:name="Note Level 4" w:semiHidden="0" w:uiPriority="61" w:unhideWhenUsed="0"/>
    <w:lsdException w:name="Note Level 5" w:semiHidden="0" w:uiPriority="62" w:unhideWhenUsed="0"/>
    <w:lsdException w:name="Note Level 6" w:semiHidden="0" w:uiPriority="63" w:unhideWhenUsed="0"/>
    <w:lsdException w:name="Note Level 7" w:semiHidden="0" w:uiPriority="64" w:unhideWhenUsed="0"/>
    <w:lsdException w:name="Note Level 8" w:semiHidden="0" w:uiPriority="65" w:unhideWhenUsed="0"/>
    <w:lsdException w:name="Note Level 9" w:semiHidden="0" w:uiPriority="66"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41" w:unhideWhenUsed="0"/>
    <w:lsdException w:name="Colorful Grid Accent 6" w:semiHidden="0" w:uiPriority="42" w:unhideWhenUsed="0"/>
    <w:lsdException w:name="Subtle Emphasis" w:semiHidden="0" w:uiPriority="43" w:unhideWhenUsed="0"/>
    <w:lsdException w:name="Intense Emphasis" w:semiHidden="0" w:uiPriority="44" w:unhideWhenUsed="0"/>
    <w:lsdException w:name="Subtle Reference" w:semiHidden="0" w:uiPriority="45" w:unhideWhenUsed="0"/>
    <w:lsdException w:name="Intense Reference" w:semiHidden="0" w:uiPriority="40" w:unhideWhenUsed="0"/>
    <w:lsdException w:name="Book Title" w:semiHidden="0" w:uiPriority="46" w:unhideWhenUsed="0"/>
    <w:lsdException w:name="Bibliography" w:semiHidden="0" w:uiPriority="47" w:unhideWhenUsed="0"/>
    <w:lsdException w:name="TOC Heading" w:semiHidden="0" w:uiPriority="48" w:unhideWhenUsed="0"/>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2">
    <w:name w:val="heading 2"/>
    <w:basedOn w:val="Normal"/>
    <w:next w:val="Normal"/>
    <w:link w:val="Heading2Char"/>
    <w:uiPriority w:val="9"/>
    <w:semiHidden/>
    <w:unhideWhenUsed/>
    <w:qFormat/>
    <w:rsid w:val="006D47FD"/>
    <w:pPr>
      <w:keepNext/>
      <w:spacing w:before="240" w:after="60"/>
      <w:outlineLvl w:val="1"/>
    </w:pPr>
    <w:rPr>
      <w:rFonts w:ascii="Calibri Light" w:hAnsi="Calibri Light"/>
      <w:b/>
      <w:bCs/>
      <w:i/>
      <w:iCs/>
      <w:sz w:val="28"/>
      <w:szCs w:val="28"/>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character" w:customStyle="1" w:styleId="Heading2Char">
    <w:name w:val="Heading 2 Char"/>
    <w:link w:val="Heading2"/>
    <w:uiPriority w:val="9"/>
    <w:semiHidden/>
    <w:rsid w:val="006D47FD"/>
    <w:rPr>
      <w:rFonts w:ascii="Calibri Light" w:eastAsia="Times New Roman" w:hAnsi="Calibri Light" w:cs="Times New Roman"/>
      <w:b/>
      <w:bCs/>
      <w:i/>
      <w:iCs/>
      <w:sz w:val="28"/>
      <w:szCs w:val="28"/>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2116830129">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pixelsPerInch w:val="96"/>
  <w:targetScreenSz w:val="800x600"/>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footer" Target="footer1.xml"/><Relationship Id="rId14" Type="http://schemas.openxmlformats.org/officeDocument/2006/relationships/footer" Target="footer2.xml"/><Relationship Id="rId15" Type="http://schemas.openxmlformats.org/officeDocument/2006/relationships/header" Target="header3.xml"/><Relationship Id="rId16" Type="http://schemas.openxmlformats.org/officeDocument/2006/relationships/footer" Target="footer3.xml"/><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jpeg"/><Relationship Id="rId10"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7B5109-D56B-1941-A1DD-4817A216F7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426</Words>
  <Characters>2434</Characters>
  <Application>Microsoft Macintosh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lpstr>
    </vt:vector>
  </TitlesOfParts>
  <LinksUpToDate>false</LinksUpToDate>
  <CharactersWithSpaces>2855</CharactersWithSpaces>
  <SharedDoc>false</SharedDoc>
  <HLinks>
    <vt:vector size="6" baseType="variant">
      <vt:variant>
        <vt:i4>7864327</vt:i4>
      </vt:variant>
      <vt:variant>
        <vt:i4>2064</vt:i4>
      </vt:variant>
      <vt:variant>
        <vt:i4>1025</vt:i4>
      </vt:variant>
      <vt:variant>
        <vt:i4>1</vt:i4>
      </vt:variant>
      <vt:variant>
        <vt:lpwstr>3x4</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2017-10-02T20:26:00Z</dcterms:created>
  <dcterms:modified xsi:type="dcterms:W3CDTF">2017-10-02T20:26:00Z</dcterms:modified>
</cp:coreProperties>
</file>