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E3E37">
      <w:pPr>
        <w:pStyle w:val="BodyText"/>
        <w:rPr>
          <w:rFonts w:ascii="Times New Roman"/>
          <w:sz w:val="20"/>
        </w:rPr>
      </w:pPr>
    </w:p>
    <w:p w:rsidR="00AE3E37" w:rsidRDefault="00E50BF9" w:rsidP="00E50BF9">
      <w:pPr>
        <w:pStyle w:val="Heading1"/>
        <w:spacing w:before="170"/>
      </w:pPr>
      <w:r>
        <w:rPr>
          <w:color w:val="337AB7"/>
        </w:rPr>
        <w:t xml:space="preserve">Fighting malaria using paratransgenic vectors using Engineered </w:t>
      </w:r>
      <w:r w:rsidRPr="00E50BF9">
        <w:rPr>
          <w:color w:val="337AB7"/>
        </w:rPr>
        <w:t>Enterobacter cloacae</w:t>
      </w:r>
      <w:r>
        <w:rPr>
          <w:color w:val="337AB7"/>
        </w:rPr>
        <w:t xml:space="preserve"> expressing Defensin </w:t>
      </w:r>
    </w:p>
    <w:p w:rsidR="00E50BF9" w:rsidRDefault="00E50BF9" w:rsidP="00E50BF9">
      <w:pPr>
        <w:pStyle w:val="BodyText"/>
        <w:spacing w:before="73" w:line="198" w:lineRule="exact"/>
        <w:ind w:left="100" w:right="5967"/>
        <w:rPr>
          <w:rFonts w:ascii="Arial"/>
          <w:highlight w:val="yellow"/>
        </w:rPr>
      </w:pPr>
      <w:r>
        <w:rPr>
          <w:rFonts w:ascii="Arial"/>
          <w:highlight w:val="yellow"/>
        </w:rPr>
        <w:t>Mohammad Ali Oshaghi, PhD, Tehran University of Medical Sciences, Iran</w:t>
      </w:r>
    </w:p>
    <w:p w:rsidR="00E50BF9" w:rsidRDefault="00E50BF9" w:rsidP="00E50BF9">
      <w:pPr>
        <w:pStyle w:val="BodyText"/>
        <w:spacing w:before="73" w:line="198" w:lineRule="exact"/>
        <w:ind w:left="100" w:right="5967"/>
        <w:rPr>
          <w:rFonts w:ascii="Arial"/>
          <w:highlight w:val="yellow"/>
        </w:rPr>
      </w:pPr>
      <w:r>
        <w:rPr>
          <w:rFonts w:ascii="Arial"/>
          <w:highlight w:val="yellow"/>
        </w:rPr>
        <w:t xml:space="preserve">Hossein Dehghan, </w:t>
      </w:r>
      <w:r>
        <w:rPr>
          <w:rFonts w:ascii="Arial"/>
          <w:highlight w:val="yellow"/>
        </w:rPr>
        <w:t>PhD, Tehran University of Medical Sciences</w:t>
      </w:r>
      <w:r>
        <w:rPr>
          <w:rFonts w:ascii="Arial"/>
          <w:highlight w:val="yellow"/>
        </w:rPr>
        <w:t>, Iran</w:t>
      </w:r>
    </w:p>
    <w:p w:rsidR="00E50BF9" w:rsidRDefault="00E50BF9" w:rsidP="00E50BF9">
      <w:pPr>
        <w:pStyle w:val="BodyText"/>
        <w:spacing w:before="73" w:line="198" w:lineRule="exact"/>
        <w:ind w:left="100" w:right="5967"/>
        <w:rPr>
          <w:rFonts w:ascii="Arial"/>
          <w:highlight w:val="yellow"/>
        </w:rPr>
      </w:pPr>
      <w:r>
        <w:rPr>
          <w:rFonts w:ascii="Arial"/>
          <w:highlight w:val="yellow"/>
        </w:rPr>
        <w:t xml:space="preserve">Seyed Hassan Moosa-Kazemi, </w:t>
      </w:r>
      <w:r>
        <w:rPr>
          <w:rFonts w:ascii="Arial"/>
          <w:highlight w:val="yellow"/>
        </w:rPr>
        <w:t>PhD, Tehran University of Medical Sciences, Iran</w:t>
      </w:r>
    </w:p>
    <w:p w:rsidR="00E50BF9" w:rsidRDefault="00E50BF9" w:rsidP="00E50BF9">
      <w:pPr>
        <w:pStyle w:val="BodyText"/>
        <w:spacing w:before="73" w:line="198" w:lineRule="exact"/>
        <w:ind w:left="100" w:right="5967"/>
        <w:rPr>
          <w:rFonts w:ascii="Arial"/>
          <w:highlight w:val="yellow"/>
        </w:rPr>
      </w:pPr>
    </w:p>
    <w:p w:rsidR="00AE3E37" w:rsidRDefault="00AE3E37" w:rsidP="00E50BF9">
      <w:pPr>
        <w:pStyle w:val="BodyText"/>
        <w:spacing w:before="73" w:line="198" w:lineRule="exact"/>
        <w:ind w:left="100" w:right="5967"/>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B25D21">
      <w:pPr>
        <w:pStyle w:val="Heading3"/>
        <w:spacing w:before="147"/>
        <w:jc w:val="both"/>
      </w:pPr>
      <w:r>
        <w:rPr>
          <w:color w:val="BF5A14"/>
        </w:rPr>
        <w:t>Abstract</w:t>
      </w:r>
      <w:r w:rsidR="00404E5B">
        <w:rPr>
          <w:color w:val="BF5A14"/>
        </w:rPr>
        <w:t xml:space="preserve"> </w:t>
      </w:r>
    </w:p>
    <w:p w:rsidR="00B25D21" w:rsidRDefault="00106DFB" w:rsidP="00B25D21">
      <w:pPr>
        <w:pStyle w:val="Heading3"/>
        <w:spacing w:before="74"/>
        <w:jc w:val="both"/>
        <w:rPr>
          <w:rFonts w:ascii="Tw Cen MT" w:eastAsia="Tw Cen MT" w:hAnsi="Tw Cen MT" w:cs="Tw Cen MT"/>
          <w:b w:val="0"/>
          <w:bCs w:val="0"/>
          <w:sz w:val="18"/>
          <w:szCs w:val="18"/>
        </w:rPr>
      </w:pPr>
      <w:r w:rsidRPr="00106DFB">
        <w:rPr>
          <w:rFonts w:ascii="Tw Cen MT" w:eastAsia="Tw Cen MT" w:hAnsi="Tw Cen MT" w:cs="Tw Cen MT"/>
          <w:b w:val="0"/>
          <w:bCs w:val="0"/>
          <w:sz w:val="18"/>
          <w:szCs w:val="18"/>
        </w:rPr>
        <w:t xml:space="preserve">Enterobacter cloacae bacterium is a known symbiont of most </w:t>
      </w:r>
      <w:r w:rsidRPr="00B25D21">
        <w:rPr>
          <w:rFonts w:ascii="Tw Cen MT" w:eastAsia="Tw Cen MT" w:hAnsi="Tw Cen MT" w:cs="Tw Cen MT"/>
          <w:b w:val="0"/>
          <w:bCs w:val="0"/>
          <w:i/>
          <w:iCs/>
          <w:sz w:val="18"/>
          <w:szCs w:val="18"/>
        </w:rPr>
        <w:t>Anopheles</w:t>
      </w:r>
      <w:r w:rsidRPr="00106DFB">
        <w:rPr>
          <w:rFonts w:ascii="Tw Cen MT" w:eastAsia="Tw Cen MT" w:hAnsi="Tw Cen MT" w:cs="Tw Cen MT"/>
          <w:b w:val="0"/>
          <w:bCs w:val="0"/>
          <w:sz w:val="18"/>
          <w:szCs w:val="18"/>
        </w:rPr>
        <w:t xml:space="preserve"> gut microflora and nominated as a proper candidate for paratransgenic control of malaria. Here, we describe a strategy that uses symbiotic bacteria to deliver antimalaria effector molecule to the midgut lumen, thus rendering host mosquitoes refractory to malaria infection. Enterobacter cloacae was engineered to secret defensin, a natural plant anti-Plasmodium effector protein. The engineered E. cloacae inhibited oocyst formation of the rodent malaria parasite Plasmodium berghei by up to 92.8% in An. stephensi. Significantly, the proportion of mosquitoes carrying parasites (prevalence) decreased by up to 75%. Interestingly, the wild strain of E.cloacae could inhibited oocyst formation by up to 72%. These findings provide the foundation for the use of either wild or genetically modified E.cloacae bacteria as a powerful tool to combat malaria.</w:t>
      </w:r>
    </w:p>
    <w:p w:rsidR="00AE3E37" w:rsidRDefault="00A9710C" w:rsidP="00B25D21">
      <w:pPr>
        <w:pStyle w:val="Heading3"/>
        <w:spacing w:before="74"/>
        <w:jc w:val="both"/>
      </w:pPr>
      <w:r>
        <w:rPr>
          <w:b w:val="0"/>
        </w:rPr>
        <w:br w:type="column"/>
      </w:r>
    </w:p>
    <w:p w:rsidR="00AE3E37" w:rsidRDefault="006B14F3" w:rsidP="00106DFB">
      <w:pPr>
        <w:pStyle w:val="BodyText"/>
        <w:spacing w:before="2"/>
        <w:rPr>
          <w:rFonts w:ascii="Arial"/>
          <w:b/>
          <w:sz w:val="16"/>
        </w:rPr>
      </w:pPr>
      <w:r>
        <w:rPr>
          <w:rFonts w:ascii="Arial"/>
          <w:b/>
          <w:noProof/>
          <w:sz w:val="16"/>
        </w:rPr>
        <w:drawing>
          <wp:inline distT="0" distB="0" distL="0" distR="0">
            <wp:extent cx="2212480" cy="196319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18657" cy="1968675"/>
                    </a:xfrm>
                    <a:prstGeom prst="rect">
                      <a:avLst/>
                    </a:prstGeom>
                    <a:noFill/>
                    <a:ln>
                      <a:noFill/>
                    </a:ln>
                  </pic:spPr>
                </pic:pic>
              </a:graphicData>
            </a:graphic>
          </wp:inline>
        </w:drawing>
      </w:r>
    </w:p>
    <w:p w:rsidR="00B25D21" w:rsidRDefault="00B25D21" w:rsidP="00B25D21">
      <w:pPr>
        <w:tabs>
          <w:tab w:val="left" w:pos="384"/>
        </w:tabs>
        <w:ind w:right="117"/>
        <w:rPr>
          <w:rFonts w:ascii="Calibri"/>
          <w:sz w:val="18"/>
        </w:rPr>
      </w:pPr>
      <w:r>
        <w:rPr>
          <w:sz w:val="18"/>
        </w:rPr>
        <w:t xml:space="preserve"> </w:t>
      </w:r>
      <w:r w:rsidRPr="00B25D21">
        <w:rPr>
          <w:sz w:val="18"/>
        </w:rPr>
        <w:t xml:space="preserve">Effect of </w:t>
      </w:r>
      <w:r w:rsidRPr="00B25D21">
        <w:rPr>
          <w:i/>
          <w:iCs/>
          <w:sz w:val="18"/>
        </w:rPr>
        <w:t>E.cloacae</w:t>
      </w:r>
      <w:r w:rsidRPr="00B25D21">
        <w:rPr>
          <w:sz w:val="18"/>
        </w:rPr>
        <w:t xml:space="preserve"> Wild type (WT), </w:t>
      </w:r>
      <w:r w:rsidRPr="00B25D21">
        <w:rPr>
          <w:i/>
          <w:iCs/>
          <w:sz w:val="18"/>
        </w:rPr>
        <w:t>E.cloacae</w:t>
      </w:r>
      <w:r>
        <w:rPr>
          <w:sz w:val="18"/>
        </w:rPr>
        <w:t xml:space="preserve"> </w:t>
      </w:r>
      <w:r w:rsidRPr="00B25D21">
        <w:rPr>
          <w:sz w:val="18"/>
        </w:rPr>
        <w:t>HasA</w:t>
      </w:r>
      <w:r>
        <w:rPr>
          <w:sz w:val="18"/>
        </w:rPr>
        <w:t xml:space="preserve">, </w:t>
      </w:r>
      <w:r w:rsidRPr="00B25D21">
        <w:rPr>
          <w:rFonts w:ascii="Calibri"/>
          <w:i/>
          <w:iCs/>
          <w:sz w:val="18"/>
        </w:rPr>
        <w:t>E.cloacae</w:t>
      </w:r>
      <w:r>
        <w:rPr>
          <w:rFonts w:ascii="Calibri"/>
          <w:sz w:val="18"/>
        </w:rPr>
        <w:t xml:space="preserve"> </w:t>
      </w:r>
      <w:r w:rsidRPr="00B25D21">
        <w:rPr>
          <w:rFonts w:ascii="Calibri"/>
          <w:sz w:val="18"/>
        </w:rPr>
        <w:t>GFP-Defe</w:t>
      </w:r>
      <w:bookmarkStart w:id="0" w:name="_GoBack"/>
      <w:bookmarkEnd w:id="0"/>
      <w:r w:rsidRPr="00B25D21">
        <w:rPr>
          <w:rFonts w:ascii="Calibri"/>
          <w:sz w:val="18"/>
        </w:rPr>
        <w:t xml:space="preserve">nsin, </w:t>
      </w:r>
      <w:r>
        <w:rPr>
          <w:rFonts w:ascii="Calibri"/>
          <w:sz w:val="18"/>
        </w:rPr>
        <w:t xml:space="preserve">and </w:t>
      </w:r>
      <w:r w:rsidRPr="00B25D21">
        <w:rPr>
          <w:rFonts w:ascii="Calibri"/>
          <w:i/>
          <w:iCs/>
          <w:sz w:val="18"/>
        </w:rPr>
        <w:t>E.cloacae</w:t>
      </w:r>
      <w:r w:rsidRPr="00B25D21">
        <w:rPr>
          <w:rFonts w:ascii="Calibri"/>
          <w:sz w:val="18"/>
        </w:rPr>
        <w:t xml:space="preserve"> HasA-Scorpine on </w:t>
      </w:r>
      <w:r w:rsidRPr="00B25D21">
        <w:rPr>
          <w:rFonts w:ascii="Calibri"/>
          <w:i/>
          <w:iCs/>
          <w:sz w:val="18"/>
        </w:rPr>
        <w:t>P</w:t>
      </w:r>
      <w:r>
        <w:rPr>
          <w:rFonts w:ascii="Calibri"/>
          <w:i/>
          <w:iCs/>
          <w:sz w:val="18"/>
        </w:rPr>
        <w:t xml:space="preserve">lasmodium </w:t>
      </w:r>
      <w:r w:rsidRPr="00B25D21">
        <w:rPr>
          <w:rFonts w:ascii="Calibri"/>
          <w:i/>
          <w:iCs/>
          <w:sz w:val="18"/>
        </w:rPr>
        <w:t>berghei</w:t>
      </w:r>
      <w:r>
        <w:rPr>
          <w:rFonts w:ascii="Calibri"/>
          <w:sz w:val="18"/>
        </w:rPr>
        <w:t xml:space="preserve"> d</w:t>
      </w:r>
      <w:r w:rsidRPr="00B25D21">
        <w:rPr>
          <w:rFonts w:ascii="Calibri"/>
          <w:sz w:val="18"/>
        </w:rPr>
        <w:t>evelopment (oocyst formation) in  An</w:t>
      </w:r>
      <w:r>
        <w:rPr>
          <w:rFonts w:ascii="Calibri"/>
          <w:sz w:val="18"/>
        </w:rPr>
        <w:t>opheles</w:t>
      </w:r>
      <w:r w:rsidRPr="00B25D21">
        <w:rPr>
          <w:rFonts w:ascii="Calibri"/>
          <w:sz w:val="18"/>
        </w:rPr>
        <w:t xml:space="preserve"> stephensi </w:t>
      </w:r>
    </w:p>
    <w:p w:rsidR="00AE3E37" w:rsidRPr="00B25D21" w:rsidRDefault="00414F7B" w:rsidP="00B25D21">
      <w:pPr>
        <w:tabs>
          <w:tab w:val="left" w:pos="384"/>
        </w:tabs>
        <w:ind w:right="117"/>
        <w:rPr>
          <w:rFonts w:ascii="Arial"/>
          <w:b/>
          <w:bCs/>
          <w:sz w:val="20"/>
        </w:rPr>
      </w:pPr>
      <w:r w:rsidRPr="00B25D21">
        <w:rPr>
          <w:rFonts w:ascii="Calibri"/>
          <w:b/>
          <w:bCs/>
          <w:sz w:val="18"/>
          <w:highlight w:val="yellow"/>
        </w:rPr>
        <w:t>Recent publi</w:t>
      </w:r>
      <w:r w:rsidR="00C33602" w:rsidRPr="00B25D21">
        <w:rPr>
          <w:rFonts w:ascii="Calibri"/>
          <w:b/>
          <w:bCs/>
          <w:sz w:val="18"/>
          <w:highlight w:val="yellow"/>
        </w:rPr>
        <w:t>cations</w:t>
      </w:r>
      <w:r w:rsidR="00C33602" w:rsidRPr="00B25D21">
        <w:rPr>
          <w:rFonts w:ascii="Arial"/>
          <w:b/>
          <w:bCs/>
          <w:color w:val="BF5A14"/>
          <w:sz w:val="20"/>
        </w:rPr>
        <w:t xml:space="preserve"> </w:t>
      </w:r>
    </w:p>
    <w:p w:rsidR="00106DFB" w:rsidRDefault="00106DFB" w:rsidP="00106DFB">
      <w:pPr>
        <w:pStyle w:val="ListParagraph"/>
        <w:numPr>
          <w:ilvl w:val="0"/>
          <w:numId w:val="2"/>
        </w:numPr>
        <w:tabs>
          <w:tab w:val="left" w:pos="384"/>
        </w:tabs>
        <w:ind w:right="117"/>
        <w:rPr>
          <w:sz w:val="18"/>
        </w:rPr>
      </w:pPr>
      <w:r w:rsidRPr="00106DFB">
        <w:rPr>
          <w:sz w:val="18"/>
        </w:rPr>
        <w:t xml:space="preserve">Dehghan H, Oshaghi MA, </w:t>
      </w:r>
      <w:r w:rsidRPr="00106DFB">
        <w:rPr>
          <w:sz w:val="18"/>
        </w:rPr>
        <w:t xml:space="preserve">et al (2017) </w:t>
      </w:r>
      <w:r w:rsidRPr="00106DFB">
        <w:rPr>
          <w:sz w:val="18"/>
        </w:rPr>
        <w:t>Dynamics of Transgenic Enterobacter cloacae Expressing Green Fluorescent Protein Defensin (GFP-D) in Anopheles stephensi Under Laboratory Condition.</w:t>
      </w:r>
      <w:r>
        <w:rPr>
          <w:sz w:val="18"/>
        </w:rPr>
        <w:t xml:space="preserve"> </w:t>
      </w:r>
      <w:r w:rsidRPr="00106DFB">
        <w:rPr>
          <w:sz w:val="18"/>
        </w:rPr>
        <w:t>J Arthropod Borne Dis. 11(4):515-532.</w:t>
      </w:r>
    </w:p>
    <w:p w:rsidR="00AE3E37" w:rsidRDefault="007958A3" w:rsidP="007958A3">
      <w:pPr>
        <w:pStyle w:val="ListParagraph"/>
        <w:numPr>
          <w:ilvl w:val="0"/>
          <w:numId w:val="2"/>
        </w:numPr>
        <w:tabs>
          <w:tab w:val="left" w:pos="384"/>
        </w:tabs>
        <w:ind w:right="118"/>
        <w:rPr>
          <w:sz w:val="18"/>
        </w:rPr>
      </w:pPr>
      <w:r w:rsidRPr="007958A3">
        <w:rPr>
          <w:sz w:val="18"/>
        </w:rPr>
        <w:t>Wang S, Dos-Santos ALA, Huang W, Liu KC, Oshaghi MA,</w:t>
      </w:r>
      <w:r>
        <w:rPr>
          <w:sz w:val="18"/>
        </w:rPr>
        <w:t xml:space="preserve"> Wei G, Agre P, Jacobs-Lorena M (2017) </w:t>
      </w:r>
      <w:r w:rsidR="00106DFB" w:rsidRPr="007958A3">
        <w:rPr>
          <w:sz w:val="18"/>
        </w:rPr>
        <w:t>Driving mosquito refractoriness to Plasmodium falciparum with engineered symbiotic bacteria.</w:t>
      </w:r>
      <w:r>
        <w:rPr>
          <w:sz w:val="18"/>
        </w:rPr>
        <w:t xml:space="preserve"> </w:t>
      </w:r>
      <w:r w:rsidR="00106DFB" w:rsidRPr="007958A3">
        <w:rPr>
          <w:sz w:val="18"/>
        </w:rPr>
        <w:t xml:space="preserve">Science. 357(6358):1399-1402. </w:t>
      </w:r>
    </w:p>
    <w:p w:rsidR="00AE3E37" w:rsidRPr="007958A3" w:rsidRDefault="007958A3" w:rsidP="007958A3">
      <w:pPr>
        <w:pStyle w:val="BodyText"/>
        <w:numPr>
          <w:ilvl w:val="0"/>
          <w:numId w:val="2"/>
        </w:numPr>
        <w:tabs>
          <w:tab w:val="left" w:pos="384"/>
        </w:tabs>
        <w:spacing w:line="210" w:lineRule="exact"/>
        <w:ind w:right="118"/>
        <w:rPr>
          <w:rFonts w:ascii="Calibri"/>
        </w:rPr>
      </w:pPr>
      <w:r w:rsidRPr="007958A3">
        <w:rPr>
          <w:rFonts w:ascii="Calibri" w:eastAsia="Calibri" w:hAnsi="Calibri" w:cs="Calibri"/>
          <w:szCs w:val="22"/>
        </w:rPr>
        <w:t>Soltani A, Vatandoost H, Osha</w:t>
      </w:r>
      <w:r w:rsidRPr="007958A3">
        <w:rPr>
          <w:rFonts w:ascii="Calibri" w:eastAsia="Calibri" w:hAnsi="Calibri" w:cs="Calibri"/>
          <w:szCs w:val="22"/>
        </w:rPr>
        <w:t xml:space="preserve">ghi MA, Enayati AA, Chavshin AR (2017) </w:t>
      </w:r>
      <w:r w:rsidRPr="007958A3">
        <w:rPr>
          <w:rFonts w:ascii="Calibri" w:eastAsia="Calibri" w:hAnsi="Calibri" w:cs="Calibri"/>
          <w:szCs w:val="22"/>
        </w:rPr>
        <w:t>The role of midgut symbiotic bacteria in resistance of Anopheles stephensi (Diptera: Culicidae) to organophosphate insecticides.</w:t>
      </w:r>
      <w:r>
        <w:rPr>
          <w:rFonts w:ascii="Calibri" w:eastAsia="Calibri" w:hAnsi="Calibri" w:cs="Calibri"/>
          <w:szCs w:val="22"/>
        </w:rPr>
        <w:t xml:space="preserve"> </w:t>
      </w:r>
      <w:r w:rsidRPr="007958A3">
        <w:rPr>
          <w:rFonts w:ascii="Calibri" w:eastAsia="Calibri" w:hAnsi="Calibri" w:cs="Calibri"/>
          <w:szCs w:val="22"/>
        </w:rPr>
        <w:t>Pathog Glob Health. 111(6):289-296.</w:t>
      </w:r>
    </w:p>
    <w:p w:rsidR="007958A3" w:rsidRDefault="007958A3" w:rsidP="007958A3">
      <w:pPr>
        <w:pStyle w:val="BodyText"/>
        <w:numPr>
          <w:ilvl w:val="0"/>
          <w:numId w:val="2"/>
        </w:numPr>
        <w:spacing w:before="82" w:line="200" w:lineRule="exact"/>
        <w:ind w:right="118"/>
        <w:jc w:val="both"/>
        <w:rPr>
          <w:rFonts w:ascii="Calibri" w:hAnsi="Calibri"/>
        </w:rPr>
      </w:pPr>
      <w:r w:rsidRPr="007958A3">
        <w:rPr>
          <w:rFonts w:ascii="Calibri" w:hAnsi="Calibri"/>
        </w:rPr>
        <w:t xml:space="preserve">Maleki-Ravasan N, Oshaghi MA, </w:t>
      </w:r>
      <w:r w:rsidRPr="007958A3">
        <w:rPr>
          <w:rFonts w:ascii="Calibri" w:hAnsi="Calibri"/>
        </w:rPr>
        <w:t xml:space="preserve">et al. (2015) </w:t>
      </w:r>
      <w:r w:rsidRPr="007958A3">
        <w:rPr>
          <w:rFonts w:ascii="Calibri" w:hAnsi="Calibri"/>
        </w:rPr>
        <w:t>Aerobic bacterial flora of biotic and abiotic compartments of a hyperendemic Zoonotic Cutaneous Leishmaniasis (ZCL) focus.</w:t>
      </w:r>
      <w:r>
        <w:rPr>
          <w:rFonts w:ascii="Calibri" w:hAnsi="Calibri"/>
        </w:rPr>
        <w:t xml:space="preserve"> </w:t>
      </w:r>
      <w:r w:rsidRPr="007958A3">
        <w:rPr>
          <w:rFonts w:ascii="Calibri" w:hAnsi="Calibri"/>
        </w:rPr>
        <w:t>Parasit Vectors.</w:t>
      </w:r>
      <w:r>
        <w:rPr>
          <w:rFonts w:ascii="Calibri" w:hAnsi="Calibri"/>
        </w:rPr>
        <w:t xml:space="preserve"> </w:t>
      </w:r>
      <w:r w:rsidRPr="007958A3">
        <w:rPr>
          <w:rFonts w:ascii="Calibri" w:hAnsi="Calibri"/>
        </w:rPr>
        <w:t xml:space="preserve">8:63. </w:t>
      </w:r>
    </w:p>
    <w:p w:rsidR="007958A3" w:rsidRPr="007958A3" w:rsidRDefault="007958A3" w:rsidP="007958A3">
      <w:pPr>
        <w:pStyle w:val="BodyText"/>
        <w:numPr>
          <w:ilvl w:val="0"/>
          <w:numId w:val="2"/>
        </w:numPr>
        <w:spacing w:before="82" w:line="200" w:lineRule="exact"/>
        <w:ind w:right="118"/>
        <w:jc w:val="both"/>
        <w:rPr>
          <w:rFonts w:ascii="Calibri" w:hAnsi="Calibri"/>
        </w:rPr>
      </w:pPr>
      <w:r w:rsidRPr="007958A3">
        <w:rPr>
          <w:rFonts w:ascii="Calibri" w:hAnsi="Calibri"/>
        </w:rPr>
        <w:t>Neafsey DE,</w:t>
      </w:r>
      <w:r>
        <w:rPr>
          <w:rFonts w:ascii="Calibri" w:hAnsi="Calibri"/>
        </w:rPr>
        <w:t xml:space="preserve"> et al. (2015)</w:t>
      </w:r>
      <w:r w:rsidRPr="007958A3">
        <w:rPr>
          <w:rFonts w:ascii="Calibri" w:hAnsi="Calibri"/>
        </w:rPr>
        <w:t xml:space="preserve"> Mosquito genomics. Highly evolvable malaria vectors: the genomes of 16 Anopheles mosquitoes.</w:t>
      </w:r>
      <w:r w:rsidRPr="007958A3">
        <w:t xml:space="preserve"> </w:t>
      </w:r>
      <w:r>
        <w:rPr>
          <w:rFonts w:ascii="Calibri" w:hAnsi="Calibri"/>
        </w:rPr>
        <w:t xml:space="preserve">Science. </w:t>
      </w:r>
      <w:r w:rsidRPr="007958A3">
        <w:rPr>
          <w:rFonts w:ascii="Calibri" w:hAnsi="Calibri"/>
        </w:rPr>
        <w:t>347(6217):1258522.</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B11197">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3DE1F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404E5B" w:rsidP="002823CD">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AE3E37" w:rsidRDefault="007958A3" w:rsidP="002823CD">
      <w:pPr>
        <w:spacing w:before="41" w:line="154" w:lineRule="exact"/>
        <w:ind w:left="213" w:right="231"/>
        <w:jc w:val="both"/>
        <w:rPr>
          <w:rFonts w:ascii="Arial"/>
          <w:sz w:val="14"/>
        </w:rPr>
      </w:pPr>
      <w:r>
        <w:rPr>
          <w:rFonts w:ascii="Arial"/>
          <w:sz w:val="14"/>
        </w:rPr>
        <w:t xml:space="preserve">Mohammad Ali Oshaghi </w:t>
      </w:r>
      <w:r w:rsidR="00A9710C">
        <w:rPr>
          <w:rFonts w:ascii="Arial"/>
          <w:sz w:val="14"/>
        </w:rPr>
        <w:t>has h</w:t>
      </w:r>
      <w:r>
        <w:rPr>
          <w:rFonts w:ascii="Arial"/>
          <w:sz w:val="14"/>
        </w:rPr>
        <w:t xml:space="preserve">is </w:t>
      </w:r>
      <w:r w:rsidR="00A9710C">
        <w:rPr>
          <w:rFonts w:ascii="Arial"/>
          <w:sz w:val="14"/>
        </w:rPr>
        <w:t xml:space="preserve">expertise in </w:t>
      </w:r>
      <w:r>
        <w:rPr>
          <w:rFonts w:ascii="Arial"/>
          <w:sz w:val="14"/>
        </w:rPr>
        <w:t>insect microbiota</w:t>
      </w:r>
      <w:r w:rsidR="002823CD">
        <w:rPr>
          <w:rFonts w:ascii="Arial"/>
          <w:sz w:val="14"/>
        </w:rPr>
        <w:t xml:space="preserve">, finding proper bacterial candidate, manipulating them to express antimicrobial molecules, reintroduction the engineered bacteria to midgut of insect vectors inorder to express the effector molecules to kill the parasites. This technique is call paratransgenesis. He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2823CD">
        <w:rPr>
          <w:rFonts w:ascii="Arial"/>
          <w:sz w:val="14"/>
        </w:rPr>
        <w:t xml:space="preserve">a few modified bacteria for control of malaria and leishmanial parasites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2823CD">
        <w:rPr>
          <w:rFonts w:ascii="Arial"/>
          <w:sz w:val="14"/>
        </w:rPr>
        <w:t>. He has also several years of in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 xml:space="preserve">in education institutions. </w:t>
      </w:r>
    </w:p>
    <w:p w:rsidR="00AE3E37" w:rsidRDefault="00A9710C" w:rsidP="002823CD">
      <w:pPr>
        <w:spacing w:before="62"/>
        <w:ind w:left="4217" w:right="4235"/>
        <w:jc w:val="center"/>
        <w:rPr>
          <w:rFonts w:ascii="Arial"/>
          <w:sz w:val="14"/>
        </w:rPr>
      </w:pPr>
      <w:r>
        <w:rPr>
          <w:rFonts w:ascii="Arial"/>
          <w:sz w:val="14"/>
        </w:rPr>
        <w:t xml:space="preserve">Email: </w:t>
      </w:r>
      <w:hyperlink r:id="rId10" w:history="1">
        <w:r w:rsidR="002823CD" w:rsidRPr="00944095">
          <w:rPr>
            <w:rStyle w:val="Hyperlink"/>
            <w:rFonts w:ascii="Arial"/>
            <w:sz w:val="14"/>
          </w:rPr>
          <w:t>moshaghi@sina.tums.ac.ir</w:t>
        </w:r>
      </w:hyperlink>
    </w:p>
    <w:p w:rsidR="00AE3E37" w:rsidRDefault="00B11197">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A1E61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FD72D3" w:rsidRDefault="002823CD" w:rsidP="002823CD">
      <w:pPr>
        <w:spacing w:before="39"/>
        <w:ind w:left="100"/>
        <w:rPr>
          <w:rFonts w:ascii="Minion Pro"/>
          <w:sz w:val="24"/>
        </w:rPr>
        <w:sectPr w:rsidR="00FD72D3">
          <w:type w:val="continuous"/>
          <w:pgSz w:w="11910" w:h="16840"/>
          <w:pgMar w:top="1740" w:right="600" w:bottom="840" w:left="620" w:header="720" w:footer="720" w:gutter="0"/>
          <w:cols w:space="720"/>
        </w:sectPr>
      </w:pPr>
      <w:r>
        <w:rPr>
          <w:rFonts w:ascii="Minion Pro"/>
          <w:b/>
          <w:sz w:val="20"/>
        </w:rPr>
        <w:t>Notes/Comments</w:t>
      </w:r>
    </w:p>
    <w:p w:rsidR="00AE3E37" w:rsidRDefault="00AE3E37" w:rsidP="009C1787">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051" w:rsidRDefault="000C4051">
      <w:r>
        <w:separator/>
      </w:r>
    </w:p>
  </w:endnote>
  <w:endnote w:type="continuationSeparator" w:id="0">
    <w:p w:rsidR="000C4051" w:rsidRDefault="000C4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B11197">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051" w:rsidRDefault="000C4051">
      <w:r>
        <w:separator/>
      </w:r>
    </w:p>
  </w:footnote>
  <w:footnote w:type="continuationSeparator" w:id="0">
    <w:p w:rsidR="000C4051" w:rsidRDefault="000C40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B11197">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4051"/>
    <w:rsid w:val="000D0D49"/>
    <w:rsid w:val="000E2911"/>
    <w:rsid w:val="00106DFB"/>
    <w:rsid w:val="001263DF"/>
    <w:rsid w:val="00190F01"/>
    <w:rsid w:val="002823CD"/>
    <w:rsid w:val="00404E5B"/>
    <w:rsid w:val="00414F7B"/>
    <w:rsid w:val="004355DC"/>
    <w:rsid w:val="004749B4"/>
    <w:rsid w:val="00492A52"/>
    <w:rsid w:val="004E6EF6"/>
    <w:rsid w:val="004F3523"/>
    <w:rsid w:val="005B3A56"/>
    <w:rsid w:val="006060CE"/>
    <w:rsid w:val="0063497F"/>
    <w:rsid w:val="006B14F3"/>
    <w:rsid w:val="007958A3"/>
    <w:rsid w:val="007D7771"/>
    <w:rsid w:val="00873DF0"/>
    <w:rsid w:val="009B2D44"/>
    <w:rsid w:val="009C1787"/>
    <w:rsid w:val="00A0419B"/>
    <w:rsid w:val="00A9710C"/>
    <w:rsid w:val="00AE3E37"/>
    <w:rsid w:val="00B11197"/>
    <w:rsid w:val="00B21A57"/>
    <w:rsid w:val="00B25D21"/>
    <w:rsid w:val="00B42AC2"/>
    <w:rsid w:val="00C1387F"/>
    <w:rsid w:val="00C33602"/>
    <w:rsid w:val="00CD6F55"/>
    <w:rsid w:val="00E50BF9"/>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0663D2C-373C-462F-9FBD-FE5E63876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2823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7388468">
      <w:bodyDiv w:val="1"/>
      <w:marLeft w:val="0"/>
      <w:marRight w:val="0"/>
      <w:marTop w:val="0"/>
      <w:marBottom w:val="0"/>
      <w:divBdr>
        <w:top w:val="none" w:sz="0" w:space="0" w:color="auto"/>
        <w:left w:val="none" w:sz="0" w:space="0" w:color="auto"/>
        <w:bottom w:val="none" w:sz="0" w:space="0" w:color="auto"/>
        <w:right w:val="none" w:sz="0" w:space="0" w:color="auto"/>
      </w:divBdr>
      <w:divsChild>
        <w:div w:id="846209338">
          <w:marLeft w:val="0"/>
          <w:marRight w:val="0"/>
          <w:marTop w:val="34"/>
          <w:marBottom w:val="34"/>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oshaghi@sina.tums.ac.ir"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469</Words>
  <Characters>2677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Mohammad Ali Oshaghi</cp:lastModifiedBy>
  <cp:revision>4</cp:revision>
  <dcterms:created xsi:type="dcterms:W3CDTF">2018-02-20T20:06:00Z</dcterms:created>
  <dcterms:modified xsi:type="dcterms:W3CDTF">2018-02-20T20:22:00Z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