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314A" w:rsidRDefault="00C1314A" w:rsidP="00C1314A">
      <w:pPr>
        <w:spacing w:line="360" w:lineRule="auto"/>
        <w:jc w:val="center"/>
        <w:rPr>
          <w:rFonts w:ascii="Times New Roman" w:hAnsi="Times New Roman" w:cs="Times New Roman"/>
          <w:b/>
          <w:bCs/>
          <w:color w:val="000000"/>
          <w:sz w:val="23"/>
          <w:szCs w:val="23"/>
        </w:rPr>
      </w:pPr>
      <w:r>
        <w:rPr>
          <w:rFonts w:ascii="Times New Roman" w:hAnsi="Times New Roman" w:cs="Times New Roman"/>
          <w:b/>
          <w:bCs/>
          <w:color w:val="000000"/>
          <w:sz w:val="23"/>
          <w:szCs w:val="23"/>
        </w:rPr>
        <w:t>Determining the misuse / overuse of Antibiotic in Non Viral Sexually Transmitted Infections</w:t>
      </w:r>
    </w:p>
    <w:p w:rsidR="00C1314A" w:rsidRDefault="00C1314A" w:rsidP="00C1314A">
      <w:pPr>
        <w:spacing w:line="360" w:lineRule="auto"/>
        <w:jc w:val="center"/>
        <w:rPr>
          <w:rFonts w:ascii="Times New Roman" w:hAnsi="Times New Roman" w:cs="Times New Roman"/>
          <w:b/>
          <w:bCs/>
          <w:color w:val="000000"/>
          <w:sz w:val="23"/>
          <w:szCs w:val="23"/>
        </w:rPr>
      </w:pPr>
      <w:proofErr w:type="spellStart"/>
      <w:r>
        <w:rPr>
          <w:rFonts w:ascii="Times New Roman" w:hAnsi="Times New Roman" w:cs="Times New Roman"/>
          <w:b/>
          <w:bCs/>
          <w:color w:val="000000"/>
          <w:sz w:val="23"/>
          <w:szCs w:val="23"/>
          <w:u w:val="single"/>
        </w:rPr>
        <w:t>Subash</w:t>
      </w:r>
      <w:proofErr w:type="spellEnd"/>
      <w:r>
        <w:rPr>
          <w:rFonts w:ascii="Times New Roman" w:hAnsi="Times New Roman" w:cs="Times New Roman"/>
          <w:b/>
          <w:bCs/>
          <w:color w:val="000000"/>
          <w:sz w:val="23"/>
          <w:szCs w:val="23"/>
          <w:u w:val="single"/>
        </w:rPr>
        <w:t xml:space="preserve"> Chandra Sonkar</w:t>
      </w:r>
      <w:r>
        <w:rPr>
          <w:rFonts w:ascii="Times New Roman" w:hAnsi="Times New Roman" w:cs="Times New Roman"/>
          <w:b/>
          <w:bCs/>
          <w:color w:val="000000"/>
          <w:sz w:val="23"/>
          <w:szCs w:val="23"/>
          <w:u w:val="single"/>
          <w:vertAlign w:val="superscript"/>
        </w:rPr>
        <w:t>1</w:t>
      </w:r>
      <w:proofErr w:type="gramStart"/>
      <w:r>
        <w:rPr>
          <w:rFonts w:ascii="Times New Roman" w:hAnsi="Times New Roman" w:cs="Times New Roman"/>
          <w:b/>
          <w:bCs/>
          <w:color w:val="000000"/>
          <w:sz w:val="23"/>
          <w:szCs w:val="23"/>
          <w:u w:val="single"/>
          <w:vertAlign w:val="superscript"/>
        </w:rPr>
        <w:t>,2</w:t>
      </w:r>
      <w:proofErr w:type="gramEnd"/>
      <w:r>
        <w:rPr>
          <w:rFonts w:ascii="Times New Roman" w:hAnsi="Times New Roman" w:cs="Times New Roman"/>
          <w:b/>
          <w:bCs/>
          <w:color w:val="000000"/>
          <w:sz w:val="23"/>
          <w:szCs w:val="23"/>
        </w:rPr>
        <w:t xml:space="preserve">, </w:t>
      </w:r>
      <w:proofErr w:type="spellStart"/>
      <w:r>
        <w:rPr>
          <w:rFonts w:ascii="Times New Roman" w:hAnsi="Times New Roman" w:cs="Times New Roman"/>
          <w:color w:val="000000"/>
          <w:sz w:val="23"/>
          <w:szCs w:val="23"/>
        </w:rPr>
        <w:t>Rekha</w:t>
      </w:r>
      <w:proofErr w:type="spellEnd"/>
      <w:r>
        <w:rPr>
          <w:rFonts w:ascii="Times New Roman" w:hAnsi="Times New Roman" w:cs="Times New Roman"/>
          <w:color w:val="000000"/>
          <w:sz w:val="23"/>
          <w:szCs w:val="23"/>
        </w:rPr>
        <w:t xml:space="preserve"> Bharti</w:t>
      </w:r>
      <w:r>
        <w:rPr>
          <w:rFonts w:ascii="Times New Roman" w:hAnsi="Times New Roman" w:cs="Times New Roman"/>
          <w:color w:val="000000"/>
          <w:sz w:val="23"/>
          <w:szCs w:val="23"/>
          <w:vertAlign w:val="superscript"/>
        </w:rPr>
        <w:t>2</w:t>
      </w:r>
      <w:r>
        <w:rPr>
          <w:rFonts w:ascii="Times New Roman" w:hAnsi="Times New Roman" w:cs="Times New Roman"/>
          <w:color w:val="000000"/>
          <w:sz w:val="23"/>
          <w:szCs w:val="23"/>
        </w:rPr>
        <w:t xml:space="preserve">, </w:t>
      </w:r>
      <w:proofErr w:type="spellStart"/>
      <w:r>
        <w:rPr>
          <w:rFonts w:ascii="Times New Roman" w:hAnsi="Times New Roman" w:cs="Times New Roman"/>
          <w:color w:val="000000"/>
          <w:sz w:val="23"/>
          <w:szCs w:val="23"/>
        </w:rPr>
        <w:t>Pratima</w:t>
      </w:r>
      <w:proofErr w:type="spellEnd"/>
      <w:r>
        <w:rPr>
          <w:rFonts w:ascii="Times New Roman" w:hAnsi="Times New Roman" w:cs="Times New Roman"/>
          <w:color w:val="000000"/>
          <w:sz w:val="23"/>
          <w:szCs w:val="23"/>
        </w:rPr>
        <w:t xml:space="preserve"> Mittal</w:t>
      </w:r>
      <w:r>
        <w:rPr>
          <w:rFonts w:ascii="Times New Roman" w:hAnsi="Times New Roman" w:cs="Times New Roman"/>
          <w:color w:val="000000"/>
          <w:sz w:val="23"/>
          <w:szCs w:val="23"/>
          <w:vertAlign w:val="superscript"/>
        </w:rPr>
        <w:t>2</w:t>
      </w:r>
      <w:r>
        <w:rPr>
          <w:rFonts w:ascii="Times New Roman" w:hAnsi="Times New Roman" w:cs="Times New Roman"/>
          <w:color w:val="000000"/>
          <w:sz w:val="23"/>
          <w:szCs w:val="23"/>
        </w:rPr>
        <w:t>, Daman Saluja</w:t>
      </w:r>
      <w:r>
        <w:rPr>
          <w:rFonts w:ascii="Times New Roman" w:hAnsi="Times New Roman" w:cs="Times New Roman"/>
          <w:color w:val="000000"/>
          <w:sz w:val="23"/>
          <w:szCs w:val="23"/>
          <w:vertAlign w:val="superscript"/>
        </w:rPr>
        <w:t>1</w:t>
      </w:r>
    </w:p>
    <w:p w:rsidR="00C1314A" w:rsidRDefault="00C1314A" w:rsidP="00C1314A">
      <w:pPr>
        <w:pStyle w:val="ListParagraph"/>
        <w:numPr>
          <w:ilvl w:val="0"/>
          <w:numId w:val="1"/>
        </w:numPr>
        <w:spacing w:line="240" w:lineRule="auto"/>
        <w:jc w:val="center"/>
        <w:rPr>
          <w:rFonts w:ascii="Times New Roman" w:hAnsi="Times New Roman" w:cs="Times New Roman"/>
          <w:i/>
          <w:iCs/>
          <w:sz w:val="20"/>
          <w:szCs w:val="20"/>
        </w:rPr>
      </w:pPr>
      <w:r>
        <w:rPr>
          <w:rFonts w:ascii="Times New Roman" w:hAnsi="Times New Roman" w:cs="Times New Roman"/>
          <w:i/>
          <w:iCs/>
          <w:sz w:val="20"/>
          <w:szCs w:val="20"/>
        </w:rPr>
        <w:t xml:space="preserve">Department of Obstetrics &amp; Gynecology </w:t>
      </w:r>
      <w:proofErr w:type="spellStart"/>
      <w:r>
        <w:rPr>
          <w:rFonts w:ascii="Times New Roman" w:hAnsi="Times New Roman" w:cs="Times New Roman"/>
          <w:i/>
          <w:iCs/>
          <w:sz w:val="20"/>
          <w:szCs w:val="20"/>
        </w:rPr>
        <w:t>Vardhman</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Mahavir</w:t>
      </w:r>
      <w:proofErr w:type="spellEnd"/>
      <w:r>
        <w:rPr>
          <w:rFonts w:ascii="Times New Roman" w:hAnsi="Times New Roman" w:cs="Times New Roman"/>
          <w:i/>
          <w:iCs/>
          <w:sz w:val="20"/>
          <w:szCs w:val="20"/>
        </w:rPr>
        <w:t xml:space="preserve"> Medical College and Safdarjung Hospital, New Delhi 110029, India</w:t>
      </w:r>
    </w:p>
    <w:p w:rsidR="00C1314A" w:rsidRDefault="00C1314A" w:rsidP="00C1314A">
      <w:pPr>
        <w:pStyle w:val="ListParagraph"/>
        <w:numPr>
          <w:ilvl w:val="0"/>
          <w:numId w:val="1"/>
        </w:numPr>
        <w:spacing w:line="240" w:lineRule="auto"/>
        <w:jc w:val="center"/>
        <w:rPr>
          <w:rFonts w:ascii="Times New Roman" w:hAnsi="Times New Roman" w:cs="Times New Roman"/>
          <w:i/>
          <w:iCs/>
          <w:sz w:val="20"/>
          <w:szCs w:val="20"/>
        </w:rPr>
      </w:pPr>
      <w:r>
        <w:rPr>
          <w:rFonts w:ascii="Times New Roman" w:hAnsi="Times New Roman" w:cs="Times New Roman"/>
          <w:i/>
          <w:iCs/>
          <w:sz w:val="20"/>
          <w:szCs w:val="20"/>
        </w:rPr>
        <w:t xml:space="preserve">Medical Biotechnology Laboratory, Dr. B.R. </w:t>
      </w:r>
      <w:proofErr w:type="spellStart"/>
      <w:r>
        <w:rPr>
          <w:rFonts w:ascii="Times New Roman" w:hAnsi="Times New Roman" w:cs="Times New Roman"/>
          <w:i/>
          <w:iCs/>
          <w:sz w:val="20"/>
          <w:szCs w:val="20"/>
        </w:rPr>
        <w:t>Ambedkar</w:t>
      </w:r>
      <w:proofErr w:type="spellEnd"/>
      <w:r>
        <w:rPr>
          <w:rFonts w:ascii="Times New Roman" w:hAnsi="Times New Roman" w:cs="Times New Roman"/>
          <w:i/>
          <w:iCs/>
          <w:sz w:val="20"/>
          <w:szCs w:val="20"/>
        </w:rPr>
        <w:t xml:space="preserve"> Center for Biomedical Research, University of Delhi, Delhi 110007, India</w:t>
      </w:r>
    </w:p>
    <w:p w:rsidR="00C1314A" w:rsidRPr="00C1314A" w:rsidRDefault="00C1314A" w:rsidP="00C1314A">
      <w:pPr>
        <w:spacing w:line="360" w:lineRule="auto"/>
        <w:jc w:val="both"/>
        <w:rPr>
          <w:rFonts w:ascii="Times New Roman" w:hAnsi="Times New Roman" w:cs="Times New Roman"/>
          <w:color w:val="000000"/>
          <w:szCs w:val="22"/>
        </w:rPr>
      </w:pPr>
      <w:r w:rsidRPr="00C1314A">
        <w:rPr>
          <w:rFonts w:ascii="Times New Roman" w:hAnsi="Times New Roman" w:cs="Times New Roman"/>
          <w:b/>
          <w:bCs/>
          <w:color w:val="000000"/>
          <w:szCs w:val="22"/>
        </w:rPr>
        <w:t>Background:</w:t>
      </w:r>
      <w:r w:rsidRPr="00C1314A">
        <w:rPr>
          <w:rFonts w:ascii="Times New Roman" w:hAnsi="Times New Roman" w:cs="Times New Roman"/>
          <w:color w:val="000000"/>
          <w:szCs w:val="22"/>
          <w:shd w:val="clear" w:color="auto" w:fill="FFFFFF"/>
        </w:rPr>
        <w:t> </w:t>
      </w:r>
      <w:r w:rsidRPr="00C1314A">
        <w:rPr>
          <w:rFonts w:ascii="Times New Roman" w:hAnsi="Times New Roman" w:cs="Times New Roman"/>
          <w:color w:val="000000"/>
          <w:szCs w:val="22"/>
        </w:rPr>
        <w:t>The emergence of multi-drug resistant sexually transmitted infections (STIs) is causing a treatment crisis across the globe. Due to extensive usage of antibiotics in the recent past, infectious agents developed resistance to those antibiotics commonly used for treatment. As results such resistant strains becoming a public health problem in a number of countries including India. NAAT based methods are able to determine multiple misuse and /or overuse of antibiotics from a single DNA sample.</w:t>
      </w:r>
    </w:p>
    <w:p w:rsidR="00C1314A" w:rsidRPr="00C1314A" w:rsidRDefault="00C1314A" w:rsidP="00C1314A">
      <w:pPr>
        <w:spacing w:line="360" w:lineRule="auto"/>
        <w:jc w:val="both"/>
        <w:rPr>
          <w:rFonts w:ascii="Times New Roman" w:hAnsi="Times New Roman" w:cs="Times New Roman"/>
          <w:color w:val="000000"/>
          <w:szCs w:val="22"/>
        </w:rPr>
      </w:pPr>
      <w:r w:rsidRPr="00C1314A">
        <w:rPr>
          <w:rFonts w:ascii="Times New Roman" w:hAnsi="Times New Roman" w:cs="Times New Roman"/>
          <w:color w:val="000000"/>
          <w:szCs w:val="22"/>
        </w:rPr>
        <w:br/>
      </w:r>
      <w:r w:rsidRPr="00C1314A">
        <w:rPr>
          <w:rFonts w:ascii="Times New Roman" w:hAnsi="Times New Roman" w:cs="Times New Roman"/>
          <w:b/>
          <w:bCs/>
          <w:color w:val="000000"/>
          <w:szCs w:val="22"/>
        </w:rPr>
        <w:t>Methods:</w:t>
      </w:r>
      <w:r w:rsidRPr="00C1314A">
        <w:rPr>
          <w:rFonts w:ascii="Times New Roman" w:hAnsi="Times New Roman" w:cs="Times New Roman"/>
          <w:color w:val="000000"/>
          <w:szCs w:val="22"/>
          <w:shd w:val="clear" w:color="auto" w:fill="FFFFFF"/>
        </w:rPr>
        <w:t> </w:t>
      </w:r>
      <w:r w:rsidRPr="00C1314A">
        <w:rPr>
          <w:rFonts w:ascii="Times New Roman" w:hAnsi="Times New Roman" w:cs="Times New Roman"/>
          <w:color w:val="000000"/>
          <w:szCs w:val="22"/>
        </w:rPr>
        <w:t>By studying the specific infection causing pathogens (</w:t>
      </w:r>
      <w:r w:rsidRPr="00C1314A">
        <w:rPr>
          <w:rFonts w:ascii="Times New Roman" w:hAnsi="Times New Roman" w:cs="Times New Roman"/>
          <w:i/>
          <w:iCs/>
          <w:color w:val="000000"/>
          <w:szCs w:val="22"/>
        </w:rPr>
        <w:t>Chlaymydia trachomatis, Neisseria gonorrhoeae</w:t>
      </w:r>
      <w:r w:rsidRPr="00C1314A">
        <w:rPr>
          <w:rFonts w:ascii="Times New Roman" w:hAnsi="Times New Roman" w:cs="Times New Roman"/>
          <w:color w:val="000000"/>
          <w:szCs w:val="22"/>
        </w:rPr>
        <w:t> and </w:t>
      </w:r>
      <w:r w:rsidRPr="00C1314A">
        <w:rPr>
          <w:rFonts w:ascii="Times New Roman" w:hAnsi="Times New Roman" w:cs="Times New Roman"/>
          <w:i/>
          <w:iCs/>
          <w:color w:val="000000"/>
          <w:szCs w:val="22"/>
        </w:rPr>
        <w:t>Trichomonas vaginalis</w:t>
      </w:r>
      <w:r w:rsidRPr="00C1314A">
        <w:rPr>
          <w:rFonts w:ascii="Times New Roman" w:hAnsi="Times New Roman" w:cs="Times New Roman"/>
          <w:color w:val="000000"/>
          <w:szCs w:val="22"/>
        </w:rPr>
        <w:t>) that enrolled in the study and recommended treatments using NACO recommended NACP guidelines with Infection treatments with laboratory measures.</w:t>
      </w:r>
    </w:p>
    <w:p w:rsidR="00C1314A" w:rsidRPr="00C1314A" w:rsidRDefault="00C1314A" w:rsidP="00C1314A">
      <w:pPr>
        <w:spacing w:line="360" w:lineRule="auto"/>
        <w:jc w:val="both"/>
        <w:rPr>
          <w:rFonts w:ascii="Times New Roman" w:hAnsi="Times New Roman" w:cs="Times New Roman"/>
          <w:color w:val="000000"/>
          <w:szCs w:val="22"/>
        </w:rPr>
      </w:pPr>
      <w:r w:rsidRPr="00C1314A">
        <w:rPr>
          <w:rFonts w:ascii="Times New Roman" w:hAnsi="Times New Roman" w:cs="Times New Roman"/>
          <w:color w:val="000000"/>
          <w:szCs w:val="22"/>
        </w:rPr>
        <w:br/>
      </w:r>
      <w:r w:rsidRPr="00C1314A">
        <w:rPr>
          <w:rFonts w:ascii="Times New Roman" w:hAnsi="Times New Roman" w:cs="Times New Roman"/>
          <w:b/>
          <w:bCs/>
          <w:color w:val="000000"/>
          <w:szCs w:val="22"/>
        </w:rPr>
        <w:t>Results:</w:t>
      </w:r>
      <w:r w:rsidRPr="00C1314A">
        <w:rPr>
          <w:rFonts w:ascii="Times New Roman" w:hAnsi="Times New Roman" w:cs="Times New Roman"/>
          <w:color w:val="000000"/>
          <w:szCs w:val="22"/>
          <w:shd w:val="clear" w:color="auto" w:fill="FFFFFF"/>
        </w:rPr>
        <w:t> M</w:t>
      </w:r>
      <w:r w:rsidRPr="00C1314A">
        <w:rPr>
          <w:rFonts w:ascii="Times New Roman" w:hAnsi="Times New Roman" w:cs="Times New Roman"/>
          <w:color w:val="000000"/>
          <w:szCs w:val="22"/>
        </w:rPr>
        <w:t>isuse and overuse of antibiotics in 588 syndromically treated women, 46(7.82%) women tested positive whereas 542(92.17%) samples were negative for these three pathogens as determined by PCR based assay. The total estimated percentage of the overuse and misuse of antibiotics in the study were 72.17% and 8.69% respectively. Correct and complete treatment estimated it compared to laboratory measures and NACP was 42/46 (91.30%). The overuse of antibiotics prevalence were estimated  </w:t>
      </w:r>
      <w:proofErr w:type="spellStart"/>
      <w:r w:rsidRPr="00C1314A">
        <w:rPr>
          <w:rFonts w:ascii="Times New Roman" w:hAnsi="Times New Roman" w:cs="Times New Roman"/>
          <w:color w:val="000000"/>
          <w:szCs w:val="22"/>
        </w:rPr>
        <w:t>Azithromycin</w:t>
      </w:r>
      <w:proofErr w:type="spellEnd"/>
      <w:r w:rsidRPr="00C1314A">
        <w:rPr>
          <w:rFonts w:ascii="Times New Roman" w:hAnsi="Times New Roman" w:cs="Times New Roman"/>
          <w:color w:val="000000"/>
          <w:szCs w:val="22"/>
        </w:rPr>
        <w:t xml:space="preserve"> and </w:t>
      </w:r>
      <w:proofErr w:type="spellStart"/>
      <w:r w:rsidRPr="00C1314A">
        <w:rPr>
          <w:rFonts w:ascii="Times New Roman" w:hAnsi="Times New Roman" w:cs="Times New Roman"/>
          <w:color w:val="000000"/>
          <w:szCs w:val="22"/>
        </w:rPr>
        <w:t>Cifixime</w:t>
      </w:r>
      <w:proofErr w:type="spellEnd"/>
      <w:r w:rsidRPr="00C1314A">
        <w:rPr>
          <w:rFonts w:ascii="Times New Roman" w:hAnsi="Times New Roman" w:cs="Times New Roman"/>
          <w:color w:val="000000"/>
          <w:szCs w:val="22"/>
        </w:rPr>
        <w:t xml:space="preserve"> (55.90%), combination of </w:t>
      </w:r>
      <w:proofErr w:type="spellStart"/>
      <w:r w:rsidRPr="00C1314A">
        <w:rPr>
          <w:rFonts w:ascii="Times New Roman" w:hAnsi="Times New Roman" w:cs="Times New Roman"/>
          <w:color w:val="000000"/>
          <w:szCs w:val="22"/>
        </w:rPr>
        <w:t>Dixycilin</w:t>
      </w:r>
      <w:proofErr w:type="spellEnd"/>
      <w:r w:rsidRPr="00C1314A">
        <w:rPr>
          <w:rFonts w:ascii="Times New Roman" w:hAnsi="Times New Roman" w:cs="Times New Roman"/>
          <w:color w:val="000000"/>
          <w:szCs w:val="22"/>
        </w:rPr>
        <w:t xml:space="preserve">, </w:t>
      </w:r>
      <w:proofErr w:type="spellStart"/>
      <w:r w:rsidRPr="00C1314A">
        <w:rPr>
          <w:rFonts w:ascii="Times New Roman" w:hAnsi="Times New Roman" w:cs="Times New Roman"/>
          <w:color w:val="000000"/>
          <w:szCs w:val="22"/>
        </w:rPr>
        <w:t>Cefixime</w:t>
      </w:r>
      <w:proofErr w:type="spellEnd"/>
      <w:r w:rsidRPr="00C1314A">
        <w:rPr>
          <w:rFonts w:ascii="Times New Roman" w:hAnsi="Times New Roman" w:cs="Times New Roman"/>
          <w:color w:val="000000"/>
          <w:szCs w:val="22"/>
        </w:rPr>
        <w:t xml:space="preserve"> and </w:t>
      </w:r>
      <w:proofErr w:type="spellStart"/>
      <w:r w:rsidRPr="00C1314A">
        <w:rPr>
          <w:rFonts w:ascii="Times New Roman" w:hAnsi="Times New Roman" w:cs="Times New Roman"/>
          <w:color w:val="000000"/>
          <w:szCs w:val="22"/>
        </w:rPr>
        <w:t>Metrodizonole</w:t>
      </w:r>
      <w:proofErr w:type="spellEnd"/>
      <w:r w:rsidRPr="00C1314A">
        <w:rPr>
          <w:rFonts w:ascii="Times New Roman" w:hAnsi="Times New Roman" w:cs="Times New Roman"/>
          <w:color w:val="000000"/>
          <w:szCs w:val="22"/>
        </w:rPr>
        <w:t xml:space="preserve"> (31.18%) and combination of </w:t>
      </w:r>
      <w:proofErr w:type="spellStart"/>
      <w:r w:rsidRPr="00C1314A">
        <w:rPr>
          <w:rFonts w:ascii="Times New Roman" w:hAnsi="Times New Roman" w:cs="Times New Roman"/>
          <w:color w:val="000000"/>
          <w:szCs w:val="22"/>
        </w:rPr>
        <w:t>Dixycilin</w:t>
      </w:r>
      <w:proofErr w:type="spellEnd"/>
      <w:r w:rsidRPr="00C1314A">
        <w:rPr>
          <w:rFonts w:ascii="Times New Roman" w:hAnsi="Times New Roman" w:cs="Times New Roman"/>
          <w:color w:val="000000"/>
          <w:szCs w:val="22"/>
        </w:rPr>
        <w:t xml:space="preserve">, </w:t>
      </w:r>
      <w:proofErr w:type="spellStart"/>
      <w:r w:rsidRPr="00C1314A">
        <w:rPr>
          <w:rFonts w:ascii="Times New Roman" w:hAnsi="Times New Roman" w:cs="Times New Roman"/>
          <w:color w:val="000000"/>
          <w:szCs w:val="22"/>
        </w:rPr>
        <w:t>Cifixime</w:t>
      </w:r>
      <w:proofErr w:type="spellEnd"/>
      <w:r w:rsidRPr="00C1314A">
        <w:rPr>
          <w:rFonts w:ascii="Times New Roman" w:hAnsi="Times New Roman" w:cs="Times New Roman"/>
          <w:color w:val="000000"/>
          <w:szCs w:val="22"/>
        </w:rPr>
        <w:t xml:space="preserve">, </w:t>
      </w:r>
      <w:proofErr w:type="spellStart"/>
      <w:r w:rsidRPr="00C1314A">
        <w:rPr>
          <w:rFonts w:ascii="Times New Roman" w:hAnsi="Times New Roman" w:cs="Times New Roman"/>
          <w:color w:val="000000"/>
          <w:szCs w:val="22"/>
        </w:rPr>
        <w:t>Metrodizonole</w:t>
      </w:r>
      <w:proofErr w:type="spellEnd"/>
      <w:r w:rsidRPr="00C1314A">
        <w:rPr>
          <w:rFonts w:ascii="Times New Roman" w:hAnsi="Times New Roman" w:cs="Times New Roman"/>
          <w:color w:val="000000"/>
          <w:szCs w:val="22"/>
        </w:rPr>
        <w:t xml:space="preserve">, </w:t>
      </w:r>
      <w:proofErr w:type="spellStart"/>
      <w:r w:rsidRPr="00C1314A">
        <w:rPr>
          <w:rFonts w:ascii="Times New Roman" w:hAnsi="Times New Roman" w:cs="Times New Roman"/>
          <w:color w:val="000000"/>
          <w:szCs w:val="22"/>
        </w:rPr>
        <w:t>Azithromycin</w:t>
      </w:r>
      <w:proofErr w:type="spellEnd"/>
      <w:r w:rsidRPr="00C1314A">
        <w:rPr>
          <w:rFonts w:ascii="Times New Roman" w:hAnsi="Times New Roman" w:cs="Times New Roman"/>
          <w:color w:val="000000"/>
          <w:szCs w:val="22"/>
        </w:rPr>
        <w:t xml:space="preserve"> (13.65%). </w:t>
      </w:r>
    </w:p>
    <w:p w:rsidR="00C1314A" w:rsidRPr="00C1314A" w:rsidRDefault="00C1314A" w:rsidP="00C1314A">
      <w:pPr>
        <w:spacing w:line="360" w:lineRule="auto"/>
        <w:jc w:val="both"/>
        <w:rPr>
          <w:rFonts w:ascii="Times New Roman" w:hAnsi="Times New Roman" w:cs="Times New Roman"/>
          <w:color w:val="000000"/>
          <w:szCs w:val="22"/>
        </w:rPr>
      </w:pPr>
      <w:r w:rsidRPr="00C1314A">
        <w:rPr>
          <w:rFonts w:ascii="Times New Roman" w:hAnsi="Times New Roman" w:cs="Times New Roman"/>
          <w:color w:val="000000"/>
          <w:szCs w:val="22"/>
        </w:rPr>
        <w:br/>
      </w:r>
      <w:r w:rsidRPr="00C1314A">
        <w:rPr>
          <w:rFonts w:ascii="Times New Roman" w:hAnsi="Times New Roman" w:cs="Times New Roman"/>
          <w:b/>
          <w:bCs/>
          <w:color w:val="000000"/>
          <w:szCs w:val="22"/>
        </w:rPr>
        <w:t>Conclusions:</w:t>
      </w:r>
      <w:r w:rsidRPr="00C1314A">
        <w:rPr>
          <w:rFonts w:ascii="Times New Roman" w:hAnsi="Times New Roman" w:cs="Times New Roman"/>
          <w:color w:val="000000"/>
          <w:szCs w:val="22"/>
          <w:shd w:val="clear" w:color="auto" w:fill="FFFFFF"/>
        </w:rPr>
        <w:t> </w:t>
      </w:r>
      <w:r w:rsidRPr="00C1314A">
        <w:rPr>
          <w:rFonts w:ascii="Times New Roman" w:hAnsi="Times New Roman" w:cs="Times New Roman"/>
          <w:b/>
          <w:bCs/>
          <w:color w:val="000000"/>
          <w:szCs w:val="22"/>
        </w:rPr>
        <w:t> </w:t>
      </w:r>
      <w:r w:rsidRPr="00C1314A">
        <w:rPr>
          <w:rFonts w:ascii="Times New Roman" w:hAnsi="Times New Roman" w:cs="Times New Roman"/>
          <w:color w:val="000000"/>
          <w:szCs w:val="22"/>
        </w:rPr>
        <w:t>Our results clearly demonstrate that the prevalence of infections is still significant among female patients visiting Obstetrics &amp; Gynecology Departments.  The study underpins the need to conduct diagnostic assays for identification of causative pathogen before implementing antibiotic treatment to patients with vaginal discharge.  It also divulges the need to review the use of syndromic case management for controlling sexually transmitted diseases.</w:t>
      </w:r>
    </w:p>
    <w:p w:rsidR="00687935" w:rsidRDefault="00687935"/>
    <w:sectPr w:rsidR="0068793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6D4952"/>
    <w:multiLevelType w:val="hybridMultilevel"/>
    <w:tmpl w:val="A48AADC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C1314A"/>
    <w:rsid w:val="00687935"/>
    <w:rsid w:val="00C1314A"/>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314A"/>
    <w:pPr>
      <w:ind w:left="720"/>
      <w:contextualSpacing/>
    </w:pPr>
    <w:rPr>
      <w:szCs w:val="22"/>
      <w:lang w:bidi="ar-SA"/>
    </w:rPr>
  </w:style>
</w:styles>
</file>

<file path=word/webSettings.xml><?xml version="1.0" encoding="utf-8"?>
<w:webSettings xmlns:r="http://schemas.openxmlformats.org/officeDocument/2006/relationships" xmlns:w="http://schemas.openxmlformats.org/wordprocessingml/2006/main">
  <w:divs>
    <w:div w:id="1378235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348</Words>
  <Characters>1990</Characters>
  <Application>Microsoft Office Word</Application>
  <DocSecurity>0</DocSecurity>
  <Lines>16</Lines>
  <Paragraphs>4</Paragraphs>
  <ScaleCrop>false</ScaleCrop>
  <Company>Microsoft</Company>
  <LinksUpToDate>false</LinksUpToDate>
  <CharactersWithSpaces>2334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acbrdslsti</dc:creator>
  <cp:keywords/>
  <dc:description/>
  <cp:lastModifiedBy>acbrdslsti</cp:lastModifiedBy>
  <cp:revision>2</cp:revision>
  <dcterms:created xsi:type="dcterms:W3CDTF">2017-12-12T09:46:00Z</dcterms:created>
  <dcterms:modified xsi:type="dcterms:W3CDTF">2017-12-12T09:47:00Z</dcterms:modified>
</cp:coreProperties>
</file>