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74A" w:rsidRDefault="00D4074A" w:rsidP="00D4074A">
      <w:pPr>
        <w:jc w:val="both"/>
        <w:rPr>
          <w:sz w:val="22"/>
          <w:szCs w:val="22"/>
          <w:lang w:val="en-GB"/>
        </w:rPr>
      </w:pPr>
      <w:r>
        <w:rPr>
          <w:sz w:val="22"/>
          <w:szCs w:val="22"/>
          <w:lang w:val="en-GB"/>
        </w:rPr>
        <w:t xml:space="preserve">                                                                                                                       </w:t>
      </w:r>
      <w:r w:rsidR="006E05AA" w:rsidRPr="006E05AA">
        <w:rPr>
          <w:sz w:val="22"/>
          <w:szCs w:val="22"/>
          <w:lang w:val="en-GB"/>
        </w:rPr>
        <w:drawing>
          <wp:inline distT="0" distB="0" distL="0" distR="0">
            <wp:extent cx="1420305" cy="1411356"/>
            <wp:effectExtent l="19050" t="0" r="8445" b="0"/>
            <wp:docPr id="5" name="Picture 1" descr="C:\Users\DR MABEK\Desktop\Dr. Mabeko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ABEK\Desktop\Dr. Mabekoje.jpg"/>
                    <pic:cNvPicPr>
                      <a:picLocks noChangeAspect="1" noChangeArrowheads="1"/>
                    </pic:cNvPicPr>
                  </pic:nvPicPr>
                  <pic:blipFill>
                    <a:blip r:embed="rId6" cstate="print"/>
                    <a:srcRect/>
                    <a:stretch>
                      <a:fillRect/>
                    </a:stretch>
                  </pic:blipFill>
                  <pic:spPr bwMode="auto">
                    <a:xfrm>
                      <a:off x="0" y="0"/>
                      <a:ext cx="1428650" cy="1419648"/>
                    </a:xfrm>
                    <a:prstGeom prst="rect">
                      <a:avLst/>
                    </a:prstGeom>
                    <a:noFill/>
                    <a:ln w="9525">
                      <a:noFill/>
                      <a:miter lim="800000"/>
                      <a:headEnd/>
                      <a:tailEnd/>
                    </a:ln>
                  </pic:spPr>
                </pic:pic>
              </a:graphicData>
            </a:graphic>
          </wp:inline>
        </w:drawing>
      </w:r>
    </w:p>
    <w:p w:rsidR="006E05AA" w:rsidRDefault="00D4074A" w:rsidP="00D4074A">
      <w:pPr>
        <w:rPr>
          <w:b/>
          <w:sz w:val="28"/>
          <w:szCs w:val="28"/>
        </w:rPr>
      </w:pPr>
      <w:r>
        <w:rPr>
          <w:rFonts w:eastAsia="MS PGothic"/>
          <w:b/>
          <w:color w:val="000000"/>
          <w:sz w:val="28"/>
          <w:szCs w:val="28"/>
        </w:rPr>
        <w:t>Title:</w:t>
      </w:r>
      <w:r w:rsidR="006E05AA">
        <w:rPr>
          <w:rFonts w:eastAsia="MS PGothic"/>
          <w:b/>
          <w:color w:val="000000"/>
          <w:sz w:val="28"/>
          <w:szCs w:val="28"/>
        </w:rPr>
        <w:t xml:space="preserve"> </w:t>
      </w:r>
      <w:r w:rsidR="006E05AA" w:rsidRPr="006E05AA">
        <w:rPr>
          <w:b/>
          <w:sz w:val="28"/>
          <w:szCs w:val="28"/>
        </w:rPr>
        <w:t xml:space="preserve">Occurrence of </w:t>
      </w:r>
      <w:r w:rsidR="006E05AA" w:rsidRPr="006E05AA">
        <w:rPr>
          <w:b/>
          <w:i/>
          <w:sz w:val="28"/>
          <w:szCs w:val="28"/>
        </w:rPr>
        <w:t>Yersinia enterocolitica</w:t>
      </w:r>
      <w:r w:rsidR="006E05AA" w:rsidRPr="006E05AA">
        <w:rPr>
          <w:b/>
          <w:sz w:val="28"/>
          <w:szCs w:val="28"/>
        </w:rPr>
        <w:t xml:space="preserve"> in diarrhoeic pigs and humans in </w:t>
      </w:r>
      <w:r w:rsidR="006E05AA">
        <w:rPr>
          <w:b/>
          <w:sz w:val="28"/>
          <w:szCs w:val="28"/>
        </w:rPr>
        <w:t xml:space="preserve">  </w:t>
      </w:r>
    </w:p>
    <w:p w:rsidR="00D4074A" w:rsidRPr="006E05AA" w:rsidRDefault="006E05AA" w:rsidP="006E05AA">
      <w:pPr>
        <w:rPr>
          <w:rFonts w:eastAsia="MS PGothic"/>
          <w:b/>
          <w:color w:val="000000"/>
          <w:sz w:val="28"/>
          <w:szCs w:val="28"/>
        </w:rPr>
      </w:pPr>
      <w:r>
        <w:rPr>
          <w:b/>
          <w:sz w:val="28"/>
          <w:szCs w:val="28"/>
        </w:rPr>
        <w:t xml:space="preserve">          </w:t>
      </w:r>
      <w:r w:rsidRPr="006E05AA">
        <w:rPr>
          <w:b/>
          <w:sz w:val="28"/>
          <w:szCs w:val="28"/>
        </w:rPr>
        <w:t>selected farms and Hospitals in Ogun State, Southwestern Nigeria</w:t>
      </w:r>
      <w:r w:rsidR="00D4074A">
        <w:rPr>
          <w:rFonts w:eastAsia="MS PGothic" w:hAnsi="Arial"/>
          <w:color w:val="000000"/>
        </w:rPr>
        <w:br/>
      </w:r>
      <w:r w:rsidR="00D4074A">
        <w:rPr>
          <w:b/>
          <w:sz w:val="28"/>
          <w:szCs w:val="28"/>
        </w:rPr>
        <w:t xml:space="preserve">                                            </w:t>
      </w:r>
    </w:p>
    <w:p w:rsidR="00D4074A" w:rsidRDefault="006E05AA" w:rsidP="006E05AA">
      <w:pPr>
        <w:ind w:left="1440" w:firstLine="720"/>
        <w:jc w:val="both"/>
        <w:rPr>
          <w:b/>
          <w:color w:val="000000"/>
          <w:lang w:eastAsia="en-GB"/>
        </w:rPr>
      </w:pPr>
      <w:r>
        <w:rPr>
          <w:b/>
          <w:color w:val="000000"/>
          <w:lang w:eastAsia="en-GB"/>
        </w:rPr>
        <w:t xml:space="preserve">Name: </w:t>
      </w:r>
      <w:r w:rsidR="00D4074A">
        <w:rPr>
          <w:b/>
          <w:color w:val="000000"/>
          <w:lang w:eastAsia="en-GB"/>
        </w:rPr>
        <w:t>Mabekoje Oladele O. (PhD)</w:t>
      </w:r>
      <w:r w:rsidR="00D4074A" w:rsidRPr="00EF0AAB">
        <w:rPr>
          <w:b/>
          <w:color w:val="000000"/>
          <w:lang w:eastAsia="en-GB"/>
        </w:rPr>
        <w:t xml:space="preserve"> </w:t>
      </w:r>
    </w:p>
    <w:p w:rsidR="00D4074A" w:rsidRDefault="006E05AA" w:rsidP="006E05AA">
      <w:pPr>
        <w:jc w:val="both"/>
        <w:rPr>
          <w:b/>
          <w:color w:val="000000"/>
          <w:lang w:eastAsia="en-GB"/>
        </w:rPr>
      </w:pPr>
      <w:r>
        <w:rPr>
          <w:b/>
          <w:color w:val="000000"/>
          <w:lang w:eastAsia="en-GB"/>
        </w:rPr>
        <w:t xml:space="preserve">            </w:t>
      </w:r>
      <w:r w:rsidR="00D4074A">
        <w:rPr>
          <w:b/>
          <w:color w:val="000000"/>
          <w:lang w:eastAsia="en-GB"/>
        </w:rPr>
        <w:t>Caleb University, Department of Microbiology, Imota, Lagos Nigeria</w:t>
      </w:r>
    </w:p>
    <w:p w:rsidR="00D4074A" w:rsidRDefault="00D4074A" w:rsidP="00D4074A">
      <w:pPr>
        <w:jc w:val="both"/>
        <w:rPr>
          <w:b/>
          <w:color w:val="000000"/>
          <w:lang w:eastAsia="en-GB"/>
        </w:rPr>
      </w:pPr>
    </w:p>
    <w:p w:rsidR="006E05AA" w:rsidRPr="004160CA" w:rsidRDefault="006E05AA" w:rsidP="00D4074A">
      <w:pPr>
        <w:jc w:val="both"/>
        <w:rPr>
          <w:b/>
          <w:color w:val="000000"/>
          <w:lang w:eastAsia="en-GB"/>
        </w:rPr>
      </w:pPr>
    </w:p>
    <w:p w:rsidR="00D4074A" w:rsidRDefault="006E05AA" w:rsidP="00D4074A">
      <w:pPr>
        <w:jc w:val="both"/>
      </w:pPr>
      <w:r>
        <w:rPr>
          <w:i/>
        </w:rPr>
        <w:t xml:space="preserve">           </w:t>
      </w:r>
      <w:r w:rsidR="00D4074A" w:rsidRPr="00BB262A">
        <w:rPr>
          <w:i/>
        </w:rPr>
        <w:t xml:space="preserve">Yersinia enterocolitica </w:t>
      </w:r>
      <w:r w:rsidR="00D4074A" w:rsidRPr="00BB262A">
        <w:t xml:space="preserve">is a food-borne enterotoxigenic microorganism associated with human gastroenteritis and septicaemia especially among children. Pigs constitute a major source of infection for man. The increase in pig farms and pork consumption in Southwestern Nigeria necessitated investigation into the occurrence of </w:t>
      </w:r>
      <w:r w:rsidR="00D4074A" w:rsidRPr="00BB262A">
        <w:rPr>
          <w:i/>
        </w:rPr>
        <w:t>Yersinia enterocolitica</w:t>
      </w:r>
      <w:r w:rsidR="00D4074A" w:rsidRPr="00BB262A">
        <w:rPr>
          <w:i/>
          <w:iCs/>
        </w:rPr>
        <w:t xml:space="preserve"> </w:t>
      </w:r>
      <w:r w:rsidR="00D4074A" w:rsidRPr="00BB262A">
        <w:t>in diarrhoeic pigs and humans in selected farms and hospitals in Ogun State, Nigeria.</w:t>
      </w:r>
    </w:p>
    <w:p w:rsidR="00D4074A" w:rsidRPr="00364C62" w:rsidRDefault="00D4074A" w:rsidP="00D4074A">
      <w:pPr>
        <w:jc w:val="both"/>
      </w:pPr>
      <w:r w:rsidRPr="00BB262A">
        <w:t xml:space="preserve">Seven hundred diarrhoeic samples were collected: 300 from pigs raised in 3 selected farms, 120 from children aged 1-7 years and 280 adults (22-50years) in medical wards of 2 selected hospitals located in the study areas. </w:t>
      </w:r>
      <w:r w:rsidRPr="00BB262A">
        <w:rPr>
          <w:i/>
        </w:rPr>
        <w:t>Yersinia enterocolitica was</w:t>
      </w:r>
      <w:r w:rsidRPr="00BB262A">
        <w:t xml:space="preserve"> isolated from faecal samples and identified biochemically by standard bacteriological methods. Antisera were raised in rabbits to serotype the </w:t>
      </w:r>
      <w:r w:rsidRPr="00BB262A">
        <w:rPr>
          <w:i/>
        </w:rPr>
        <w:t xml:space="preserve">Yersinia enterocolitica </w:t>
      </w:r>
      <w:r w:rsidRPr="00BB262A">
        <w:t xml:space="preserve">  isolates into groups A</w:t>
      </w:r>
      <w:r w:rsidRPr="00BB262A">
        <w:rPr>
          <w:bCs/>
        </w:rPr>
        <w:t>,</w:t>
      </w:r>
      <w:r w:rsidRPr="00BB262A">
        <w:t xml:space="preserve"> B</w:t>
      </w:r>
      <w:r w:rsidRPr="00BB262A">
        <w:rPr>
          <w:bCs/>
        </w:rPr>
        <w:t xml:space="preserve">, </w:t>
      </w:r>
      <w:r w:rsidRPr="00BB262A">
        <w:t xml:space="preserve">C and D using slide agglutination technique. The serotypes were further identified with Commercial Latex Agglutination Kit (CLAK). Susceptibility of </w:t>
      </w:r>
      <w:r w:rsidRPr="00BB262A">
        <w:rPr>
          <w:i/>
        </w:rPr>
        <w:t xml:space="preserve">Yersinia enterocolitica </w:t>
      </w:r>
      <w:r w:rsidRPr="00BB262A">
        <w:rPr>
          <w:iCs/>
        </w:rPr>
        <w:t>to</w:t>
      </w:r>
      <w:r w:rsidR="006E05AA">
        <w:t xml:space="preserve"> </w:t>
      </w:r>
      <w:r w:rsidRPr="00BB262A">
        <w:t>antibiotics was determined by disc diffusion method. Minimum inhi</w:t>
      </w:r>
      <w:r w:rsidR="006E05AA">
        <w:t>bitory concentrations of some antibiotics</w:t>
      </w:r>
      <w:r w:rsidRPr="00BB262A">
        <w:t xml:space="preserve"> were determined for the resistant isolates. Plasmid transfer of R-determinants to </w:t>
      </w:r>
      <w:r w:rsidRPr="00BB262A">
        <w:rPr>
          <w:i/>
        </w:rPr>
        <w:t>E. coli</w:t>
      </w:r>
      <w:r w:rsidRPr="00BB262A">
        <w:t xml:space="preserve"> 356</w:t>
      </w:r>
      <w:r>
        <w:t xml:space="preserve"> k</w:t>
      </w:r>
      <w:r w:rsidRPr="00C50792">
        <w:rPr>
          <w:vertAlign w:val="subscript"/>
        </w:rPr>
        <w:t>12</w:t>
      </w:r>
      <w:r w:rsidRPr="00BB262A">
        <w:t xml:space="preserve"> resistant to 200µg/mL streptomycin was performed. The kinetics of phenotypic expression of ampicillin, chloramphenicol, tetracycline and amoxicillin were determined. Heat-stable enterotoxin of </w:t>
      </w:r>
      <w:r w:rsidRPr="00BB262A">
        <w:rPr>
          <w:i/>
        </w:rPr>
        <w:t>Yersinia enterocolitica isolates</w:t>
      </w:r>
      <w:r w:rsidRPr="00BB262A">
        <w:t xml:space="preserve"> was assayed using rabbit ileal loop test. Sereny-test for invasiveness of isolates was performed by instilling 2.0 x 10</w:t>
      </w:r>
      <w:r w:rsidRPr="00BB262A">
        <w:rPr>
          <w:vertAlign w:val="superscript"/>
        </w:rPr>
        <w:t xml:space="preserve">10 </w:t>
      </w:r>
      <w:r w:rsidRPr="00BB262A">
        <w:t>cfu/mL/animal into the right eyes of guinea pigs while 1.0 mL sterile tryptose-soy broth was instilled into the left eyes as control. Histopathology of the eyes was carried out. Data were analysed using descriptive statistics and ANOVA at p&lt;0.05.</w:t>
      </w:r>
    </w:p>
    <w:p w:rsidR="00D4074A" w:rsidRDefault="00D4074A" w:rsidP="00D4074A">
      <w:pPr>
        <w:jc w:val="both"/>
      </w:pPr>
      <w:r w:rsidRPr="00BB262A">
        <w:t>Ninety</w:t>
      </w:r>
      <w:r w:rsidRPr="00BB262A">
        <w:rPr>
          <w:i/>
        </w:rPr>
        <w:t xml:space="preserve"> Yersinia enterocolitica </w:t>
      </w:r>
      <w:r w:rsidRPr="00CE0A21">
        <w:t>isolates</w:t>
      </w:r>
      <w:r w:rsidRPr="00BB262A">
        <w:rPr>
          <w:i/>
        </w:rPr>
        <w:t xml:space="preserve"> </w:t>
      </w:r>
      <w:r w:rsidRPr="00BB262A">
        <w:t xml:space="preserve">comprising 30 from humans: 16 and 14 from the 2 </w:t>
      </w:r>
    </w:p>
    <w:p w:rsidR="00D4074A" w:rsidRPr="00BB262A" w:rsidRDefault="00D4074A" w:rsidP="00D4074A">
      <w:pPr>
        <w:jc w:val="both"/>
      </w:pPr>
      <w:r w:rsidRPr="00BB262A">
        <w:t>selected hospitals and 60 from pigs: 20, 16 and 24 from the 3 selected farms were identified. There was significant difference between the occurrence of human and pig isolates.</w:t>
      </w:r>
      <w:r w:rsidRPr="00BB262A">
        <w:rPr>
          <w:bCs/>
        </w:rPr>
        <w:t xml:space="preserve"> Slide agglutination technique yielded serotype occurrence</w:t>
      </w:r>
      <w:r w:rsidRPr="00BB262A">
        <w:t xml:space="preserve"> </w:t>
      </w:r>
      <w:r w:rsidRPr="00BB262A">
        <w:rPr>
          <w:bCs/>
        </w:rPr>
        <w:t xml:space="preserve">of </w:t>
      </w:r>
      <w:r w:rsidRPr="00BB262A">
        <w:rPr>
          <w:i/>
        </w:rPr>
        <w:t>Yersinia enterocolitica</w:t>
      </w:r>
      <w:r w:rsidRPr="00BB262A">
        <w:rPr>
          <w:bCs/>
          <w:i/>
        </w:rPr>
        <w:t xml:space="preserve"> </w:t>
      </w:r>
      <w:r w:rsidRPr="00BB262A">
        <w:rPr>
          <w:bCs/>
        </w:rPr>
        <w:t xml:space="preserve"> as </w:t>
      </w:r>
      <w:r w:rsidRPr="00BB262A">
        <w:t xml:space="preserve">A(5), B(63), C(8) and D(14), while CLAK gave </w:t>
      </w:r>
      <w:r w:rsidRPr="00BB262A">
        <w:rPr>
          <w:bCs/>
        </w:rPr>
        <w:t>serotypes</w:t>
      </w:r>
      <w:r w:rsidRPr="00BB262A">
        <w:t xml:space="preserve"> </w:t>
      </w:r>
      <w:r w:rsidRPr="00BB262A">
        <w:rPr>
          <w:bCs/>
        </w:rPr>
        <w:t xml:space="preserve"> </w:t>
      </w:r>
      <w:r w:rsidRPr="00BB262A">
        <w:t>A(0:3), B(0:5), C(0:8) and 2 of the 14 D  isolates were serotype 0:9.</w:t>
      </w:r>
      <w:r w:rsidRPr="00BB262A">
        <w:rPr>
          <w:color w:val="FF0000"/>
        </w:rPr>
        <w:t xml:space="preserve"> </w:t>
      </w:r>
      <w:r w:rsidRPr="00BB262A">
        <w:rPr>
          <w:i/>
        </w:rPr>
        <w:t>Yersinia enterocolitica</w:t>
      </w:r>
      <w:r w:rsidRPr="00BB262A">
        <w:rPr>
          <w:bCs/>
          <w:i/>
        </w:rPr>
        <w:t xml:space="preserve"> </w:t>
      </w:r>
      <w:r w:rsidRPr="00BB262A">
        <w:rPr>
          <w:bCs/>
        </w:rPr>
        <w:t>isolates were identified as biotypes 1A (77), 2(8), 4(5), serotypes 0:3, 0:5, 0:8 and 0:9 while 12(E) were non-typable.</w:t>
      </w:r>
      <w:r w:rsidRPr="00BB262A">
        <w:t xml:space="preserve"> Eleven and 13 antibiotic resistant patterns were observed in humans and pig isolates, respectively. R-determinants were transferred to the recipient </w:t>
      </w:r>
      <w:r w:rsidRPr="00BB262A">
        <w:rPr>
          <w:i/>
        </w:rPr>
        <w:t>en bloc</w:t>
      </w:r>
      <w:r w:rsidRPr="00BB262A">
        <w:t>. However, few segregations were observed indicating chromosomal transfer. Ampicillin and chloramphenicol had the highest kinetics of phenotypic expression for the transconjugants for human and pig isolates respectively. The isolates induced accummulation of fluid in ileal loops of rabbits, corneal</w:t>
      </w:r>
      <w:r w:rsidRPr="008D1DC6">
        <w:t xml:space="preserve"> oedema</w:t>
      </w:r>
      <w:r w:rsidRPr="00BB262A">
        <w:t xml:space="preserve"> and</w:t>
      </w:r>
      <w:r w:rsidRPr="008D1DC6">
        <w:t xml:space="preserve"> haemorrhagic keratoconjuctivitis</w:t>
      </w:r>
      <w:r w:rsidRPr="00BB262A">
        <w:t xml:space="preserve"> in guinea pigs.</w:t>
      </w:r>
    </w:p>
    <w:p w:rsidR="00D4074A" w:rsidRDefault="00D4074A" w:rsidP="00D4074A">
      <w:pPr>
        <w:jc w:val="both"/>
      </w:pPr>
      <w:r w:rsidRPr="00BB262A">
        <w:t xml:space="preserve">Invasive, enterotoxigenic and multi-resistant </w:t>
      </w:r>
      <w:r w:rsidRPr="00BB262A">
        <w:rPr>
          <w:i/>
        </w:rPr>
        <w:t>Yersinia enterocolitica</w:t>
      </w:r>
      <w:r w:rsidRPr="00BB262A">
        <w:t xml:space="preserve"> that harboured transferable R-plasmid were isolated in humans and pigs. These organisms may constitute great public health hazard, hence proper piggery hygiene and disposal of waste is advocated to prevent contamination of water and food of humans. Legislation on misuse and abuse of antibiotics should be enforced to prevent drug resistance. </w:t>
      </w:r>
    </w:p>
    <w:p w:rsidR="00D4074A" w:rsidRDefault="00D4074A" w:rsidP="00D4074A">
      <w:pPr>
        <w:jc w:val="both"/>
      </w:pPr>
    </w:p>
    <w:p w:rsidR="00D4074A" w:rsidRDefault="00D4074A" w:rsidP="00D4074A">
      <w:pPr>
        <w:jc w:val="both"/>
        <w:rPr>
          <w:b/>
        </w:rPr>
      </w:pPr>
      <w:r>
        <w:rPr>
          <w:b/>
        </w:rPr>
        <w:t>Biography</w:t>
      </w:r>
    </w:p>
    <w:p w:rsidR="00D4074A" w:rsidRDefault="00D4074A" w:rsidP="00D4074A">
      <w:pPr>
        <w:jc w:val="both"/>
        <w:rPr>
          <w:b/>
        </w:rPr>
      </w:pPr>
    </w:p>
    <w:p w:rsidR="00D4074A" w:rsidRDefault="00165650" w:rsidP="00D4074A">
      <w:pPr>
        <w:jc w:val="both"/>
      </w:pPr>
      <w:r>
        <w:t xml:space="preserve">Mabekoje, Oladele O. </w:t>
      </w:r>
      <w:r w:rsidR="00D4074A">
        <w:t>obtained his PhD from University</w:t>
      </w:r>
      <w:r w:rsidR="006E05AA">
        <w:t xml:space="preserve"> of Ibadan, Ibadan Nigeria,in the</w:t>
      </w:r>
      <w:r w:rsidR="00D4074A">
        <w:t xml:space="preserve"> Department of Veterinary Microbiology and Parasitology. He began his academic profession as Assistant Lecturer in th</w:t>
      </w:r>
      <w:r>
        <w:t>e Department of Biological Scien</w:t>
      </w:r>
      <w:r w:rsidR="00D4074A">
        <w:t>ces</w:t>
      </w:r>
      <w:r>
        <w:t>, Olabisi Onabanjo University, Ago-Iwoye Nigeria</w:t>
      </w:r>
      <w:r w:rsidR="006E05AA">
        <w:t xml:space="preserve"> in 20202, and</w:t>
      </w:r>
      <w:r>
        <w:t xml:space="preserve"> rose to the position of Lecturer 1</w:t>
      </w:r>
      <w:r w:rsidR="00D4074A">
        <w:t xml:space="preserve"> </w:t>
      </w:r>
      <w:r>
        <w:t>in 2010. In 2005, he won IFS award on Mycotoxin research in maize in Nigeria. He joined Caleb University, Imota Lagos Nigeria as Senior Lcturer/Head, Department of Microbiology and Industrial Biotechnoogy in 2015. He has published more than 21</w:t>
      </w:r>
      <w:r w:rsidR="00D4074A">
        <w:t xml:space="preserve"> papers in reputed journals</w:t>
      </w:r>
      <w:r>
        <w:t xml:space="preserve"> both locally and Internationally. He is versatile in pathogenic Bacteriology, pharmaceutical Microbiology, Immunology and Microbiological Techniques.</w:t>
      </w:r>
    </w:p>
    <w:p w:rsidR="006E05AA" w:rsidRPr="00A41107" w:rsidRDefault="006E05AA" w:rsidP="00D4074A">
      <w:pPr>
        <w:jc w:val="both"/>
        <w:rPr>
          <w:rFonts w:eastAsia="MS PGothic"/>
          <w:b/>
          <w:color w:val="000000"/>
          <w:szCs w:val="32"/>
        </w:rPr>
      </w:pPr>
    </w:p>
    <w:p w:rsidR="00D4074A" w:rsidRPr="008A690F" w:rsidRDefault="00D4074A" w:rsidP="00D4074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165650">
        <w:rPr>
          <w:lang w:val="en-NZ"/>
        </w:rPr>
        <w:t>Dr. Mabekoje Oladele Olatunbosun</w:t>
      </w:r>
      <w:r w:rsidRPr="008A690F">
        <w:rPr>
          <w:lang w:val="en-NZ"/>
        </w:rPr>
        <w:br/>
        <w:t>Contact number</w:t>
      </w:r>
      <w:proofErr w:type="gramStart"/>
      <w:r w:rsidRPr="008A690F">
        <w:rPr>
          <w:lang w:val="en-NZ"/>
        </w:rPr>
        <w:t>:</w:t>
      </w:r>
      <w:r w:rsidR="00165650">
        <w:rPr>
          <w:lang w:val="en-NZ"/>
        </w:rPr>
        <w:t>+</w:t>
      </w:r>
      <w:proofErr w:type="gramEnd"/>
      <w:r w:rsidR="00165650">
        <w:rPr>
          <w:lang w:val="en-NZ"/>
        </w:rPr>
        <w:t>23464179526</w:t>
      </w:r>
      <w:r w:rsidRPr="008A690F">
        <w:rPr>
          <w:lang w:val="en-NZ"/>
        </w:rPr>
        <w:br/>
        <w:t>Twitter account:</w:t>
      </w:r>
      <w:r w:rsidRPr="008A690F">
        <w:rPr>
          <w:lang w:val="en-NZ"/>
        </w:rPr>
        <w:br/>
        <w:t>Linked In account:</w:t>
      </w:r>
    </w:p>
    <w:p w:rsidR="00D4074A" w:rsidRPr="00BB262A" w:rsidRDefault="00D4074A" w:rsidP="00D4074A">
      <w:pPr>
        <w:jc w:val="both"/>
      </w:pPr>
      <w:proofErr w:type="spellStart"/>
      <w:r w:rsidRPr="008A690F">
        <w:rPr>
          <w:lang w:val="en-NZ"/>
        </w:rPr>
        <w:t>Session</w:t>
      </w:r>
      <w:r w:rsidR="006E05AA">
        <w:rPr>
          <w:lang w:val="en-NZ"/>
        </w:rPr>
        <w:t>name</w:t>
      </w:r>
      <w:proofErr w:type="spellEnd"/>
      <w:r w:rsidR="006E05AA">
        <w:rPr>
          <w:lang w:val="en-NZ"/>
        </w:rPr>
        <w:t>/</w:t>
      </w:r>
      <w:r w:rsidRPr="008A690F">
        <w:rPr>
          <w:lang w:val="en-NZ"/>
        </w:rPr>
        <w:t>number</w:t>
      </w:r>
      <w:proofErr w:type="gramStart"/>
      <w:r w:rsidRPr="008A690F">
        <w:rPr>
          <w:lang w:val="en-NZ"/>
        </w:rPr>
        <w:t>:</w:t>
      </w:r>
      <w:proofErr w:type="gramEnd"/>
      <w:r w:rsidRPr="008A690F">
        <w:rPr>
          <w:lang w:val="en-NZ"/>
        </w:rPr>
        <w:br/>
      </w:r>
      <w:proofErr w:type="spellStart"/>
      <w:r w:rsidRPr="008A690F">
        <w:rPr>
          <w:lang w:val="en-NZ"/>
        </w:rPr>
        <w:t>Category</w:t>
      </w:r>
      <w:r w:rsidR="006E05AA">
        <w:rPr>
          <w:lang w:val="en-NZ"/>
        </w:rPr>
        <w:t>:Poster</w:t>
      </w:r>
      <w:r w:rsidR="00165650">
        <w:rPr>
          <w:lang w:val="en-NZ"/>
        </w:rPr>
        <w:t>Presentation</w:t>
      </w:r>
      <w:proofErr w:type="spellEnd"/>
      <w:r w:rsidR="006E05AA">
        <w:rPr>
          <w:lang w:val="en-NZ"/>
        </w:rPr>
        <w:t>(</w:t>
      </w:r>
      <w:proofErr w:type="spellStart"/>
      <w:r w:rsidR="006E05AA">
        <w:rPr>
          <w:lang w:val="en-NZ"/>
        </w:rPr>
        <w:t>Oralpresentation</w:t>
      </w:r>
      <w:proofErr w:type="spellEnd"/>
      <w:r w:rsidR="006E05AA">
        <w:rPr>
          <w:lang w:val="en-NZ"/>
        </w:rPr>
        <w:t>/</w:t>
      </w:r>
      <w:proofErr w:type="spellStart"/>
      <w:r w:rsidR="006E05AA">
        <w:rPr>
          <w:lang w:val="en-NZ"/>
        </w:rPr>
        <w:t>Poster</w:t>
      </w:r>
      <w:r w:rsidRPr="008A690F">
        <w:rPr>
          <w:lang w:val="en-NZ"/>
        </w:rPr>
        <w:t>presentation</w:t>
      </w:r>
      <w:proofErr w:type="spellEnd"/>
      <w:r w:rsidRPr="008A690F">
        <w:rPr>
          <w:lang w:val="en-NZ"/>
        </w:rPr>
        <w:t>)</w:t>
      </w:r>
      <w:r>
        <w:rPr>
          <w:lang w:val="en-NZ"/>
        </w:rPr>
        <w:br/>
      </w:r>
      <w:r w:rsidRPr="00BB262A">
        <w:rPr>
          <w:color w:val="000000"/>
          <w:kern w:val="24"/>
        </w:rPr>
        <w:t xml:space="preserve"> </w:t>
      </w:r>
    </w:p>
    <w:p w:rsidR="00D4074A" w:rsidRDefault="00D4074A" w:rsidP="00D4074A">
      <w:pPr>
        <w:autoSpaceDE w:val="0"/>
        <w:autoSpaceDN w:val="0"/>
        <w:adjustRightInd w:val="0"/>
        <w:rPr>
          <w:lang w:val="en-NZ"/>
        </w:rPr>
      </w:pPr>
    </w:p>
    <w:p w:rsidR="00D4074A" w:rsidRDefault="00D4074A" w:rsidP="00D4074A">
      <w:pPr>
        <w:autoSpaceDE w:val="0"/>
        <w:autoSpaceDN w:val="0"/>
        <w:adjustRightInd w:val="0"/>
        <w:rPr>
          <w:lang w:val="en-NZ"/>
        </w:rPr>
      </w:pPr>
    </w:p>
    <w:p w:rsidR="00D4074A" w:rsidRDefault="00D4074A" w:rsidP="00D4074A">
      <w:pPr>
        <w:autoSpaceDE w:val="0"/>
        <w:autoSpaceDN w:val="0"/>
        <w:adjustRightInd w:val="0"/>
        <w:rPr>
          <w:lang w:val="en-NZ"/>
        </w:rPr>
      </w:pPr>
    </w:p>
    <w:p w:rsidR="00D4074A" w:rsidRDefault="00D4074A" w:rsidP="00D4074A">
      <w:pPr>
        <w:autoSpaceDE w:val="0"/>
        <w:autoSpaceDN w:val="0"/>
        <w:adjustRightInd w:val="0"/>
        <w:rPr>
          <w:lang w:val="en-NZ"/>
        </w:rPr>
      </w:pPr>
    </w:p>
    <w:p w:rsidR="00D4074A" w:rsidRDefault="00D4074A" w:rsidP="00D4074A">
      <w:pPr>
        <w:autoSpaceDE w:val="0"/>
        <w:autoSpaceDN w:val="0"/>
        <w:adjustRightInd w:val="0"/>
        <w:rPr>
          <w:lang w:val="en-NZ"/>
        </w:rPr>
      </w:pPr>
    </w:p>
    <w:p w:rsidR="00D4074A" w:rsidRDefault="00D4074A" w:rsidP="00D4074A">
      <w:pPr>
        <w:autoSpaceDE w:val="0"/>
        <w:autoSpaceDN w:val="0"/>
        <w:adjustRightInd w:val="0"/>
        <w:rPr>
          <w:lang w:val="en-NZ"/>
        </w:rPr>
      </w:pPr>
    </w:p>
    <w:p w:rsidR="00D4074A" w:rsidRDefault="00D4074A" w:rsidP="00D4074A">
      <w:pPr>
        <w:autoSpaceDE w:val="0"/>
        <w:autoSpaceDN w:val="0"/>
        <w:adjustRightInd w:val="0"/>
        <w:rPr>
          <w:lang w:val="en-NZ"/>
        </w:rPr>
      </w:pPr>
    </w:p>
    <w:sectPr w:rsidR="00D4074A" w:rsidSect="00094466">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2DD" w:rsidRDefault="00F912DD">
      <w:r>
        <w:separator/>
      </w:r>
    </w:p>
  </w:endnote>
  <w:endnote w:type="continuationSeparator" w:id="0">
    <w:p w:rsidR="00F912DD" w:rsidRDefault="00F912D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6" w:rsidRDefault="0009446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6" w:rsidRDefault="0009446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6" w:rsidRDefault="000944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2DD" w:rsidRDefault="00F912DD">
      <w:r>
        <w:separator/>
      </w:r>
    </w:p>
  </w:footnote>
  <w:footnote w:type="continuationSeparator" w:id="0">
    <w:p w:rsidR="00F912DD" w:rsidRDefault="00F912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6" w:rsidRPr="00671A59" w:rsidRDefault="00094466">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6" w:rsidRDefault="0009446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66" w:rsidRDefault="0009446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1"/>
    <w:footnote w:id="0"/>
  </w:footnotePr>
  <w:endnotePr>
    <w:endnote w:id="-1"/>
    <w:endnote w:id="0"/>
  </w:endnotePr>
  <w:compat/>
  <w:rsids>
    <w:rsidRoot w:val="00D4074A"/>
    <w:rsid w:val="00094466"/>
    <w:rsid w:val="00165650"/>
    <w:rsid w:val="006E05AA"/>
    <w:rsid w:val="00BC15A5"/>
    <w:rsid w:val="00D4074A"/>
    <w:rsid w:val="00F912D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74A"/>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74A"/>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D4074A"/>
    <w:rPr>
      <w:rFonts w:ascii="Times New Roman" w:eastAsia="Times New Roman" w:hAnsi="Times New Roman" w:cs="Gautami"/>
      <w:sz w:val="24"/>
      <w:szCs w:val="24"/>
      <w:lang w:bidi="te-IN"/>
    </w:rPr>
  </w:style>
  <w:style w:type="paragraph" w:styleId="Footer">
    <w:name w:val="footer"/>
    <w:basedOn w:val="Normal"/>
    <w:link w:val="FooterChar"/>
    <w:uiPriority w:val="99"/>
    <w:semiHidden/>
    <w:unhideWhenUsed/>
    <w:rsid w:val="00D4074A"/>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D4074A"/>
    <w:rPr>
      <w:rFonts w:ascii="Times New Roman" w:eastAsia="Times New Roman" w:hAnsi="Times New Roman" w:cs="Gautami"/>
      <w:sz w:val="24"/>
      <w:szCs w:val="24"/>
      <w:lang w:bidi="te-IN"/>
    </w:rPr>
  </w:style>
  <w:style w:type="paragraph" w:styleId="BalloonText">
    <w:name w:val="Balloon Text"/>
    <w:basedOn w:val="Normal"/>
    <w:link w:val="BalloonTextChar"/>
    <w:uiPriority w:val="99"/>
    <w:semiHidden/>
    <w:unhideWhenUsed/>
    <w:rsid w:val="00D4074A"/>
    <w:rPr>
      <w:rFonts w:ascii="Tahoma" w:hAnsi="Tahoma" w:cs="Tahoma"/>
      <w:sz w:val="16"/>
      <w:szCs w:val="16"/>
    </w:rPr>
  </w:style>
  <w:style w:type="character" w:customStyle="1" w:styleId="BalloonTextChar">
    <w:name w:val="Balloon Text Char"/>
    <w:basedOn w:val="DefaultParagraphFont"/>
    <w:link w:val="BalloonText"/>
    <w:uiPriority w:val="99"/>
    <w:semiHidden/>
    <w:rsid w:val="00D4074A"/>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MABEK</dc:creator>
  <cp:lastModifiedBy>DR MABEK</cp:lastModifiedBy>
  <cp:revision>1</cp:revision>
  <dcterms:created xsi:type="dcterms:W3CDTF">2017-10-26T11:34:00Z</dcterms:created>
  <dcterms:modified xsi:type="dcterms:W3CDTF">2017-10-26T11:50:00Z</dcterms:modified>
</cp:coreProperties>
</file>