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rPr>
          <w:color w:val="337AB7"/>
        </w:rPr>
      </w:pPr>
      <w:r>
        <w:rPr>
          <w:color w:val="337AB7"/>
        </w:rPr>
        <w:t xml:space="preserve">Comparative </w:t>
      </w:r>
      <w:r>
        <w:rPr>
          <w:rFonts w:hint="eastAsia"/>
          <w:color w:val="337AB7"/>
          <w:lang w:eastAsia="zh-CN"/>
        </w:rPr>
        <w:t>S</w:t>
      </w:r>
      <w:r>
        <w:rPr>
          <w:color w:val="337AB7"/>
        </w:rPr>
        <w:t xml:space="preserve">tudy on Factors Associated with Voluntary HIV </w:t>
      </w:r>
      <w:r>
        <w:rPr>
          <w:rFonts w:hint="eastAsia"/>
          <w:color w:val="337AB7"/>
          <w:lang w:eastAsia="zh-CN"/>
        </w:rPr>
        <w:t>Counselling and Testing</w:t>
      </w:r>
      <w:r>
        <w:rPr>
          <w:color w:val="337AB7"/>
        </w:rPr>
        <w:t xml:space="preserve"> Uptake and </w:t>
      </w:r>
      <w:r>
        <w:rPr>
          <w:color w:val="337AB7"/>
          <w:lang w:val="en-US"/>
        </w:rPr>
        <w:t>Risky Sexual Behaviour</w:t>
      </w:r>
      <w:bookmarkStart w:id="0" w:name="_GoBack"/>
      <w:bookmarkEnd w:id="0"/>
      <w:r>
        <w:rPr>
          <w:color w:val="337AB7"/>
        </w:rPr>
        <w:t xml:space="preserve"> </w:t>
      </w:r>
      <w:r>
        <w:rPr>
          <w:rFonts w:hint="eastAsia"/>
          <w:color w:val="337AB7"/>
          <w:lang w:eastAsia="zh-CN"/>
        </w:rPr>
        <w:t>a</w:t>
      </w:r>
      <w:r>
        <w:rPr>
          <w:color w:val="337AB7"/>
        </w:rPr>
        <w:t xml:space="preserve">mong Adults in </w:t>
      </w:r>
      <w:r>
        <w:rPr>
          <w:rFonts w:hint="eastAsia"/>
          <w:color w:val="337AB7"/>
          <w:lang w:eastAsia="zh-CN"/>
        </w:rPr>
        <w:t>S</w:t>
      </w:r>
      <w:r>
        <w:rPr>
          <w:color w:val="337AB7"/>
        </w:rPr>
        <w:t xml:space="preserve">ub-Saharan Africa </w:t>
      </w:r>
      <w:r>
        <w:rPr>
          <w:rFonts w:hint="eastAsia"/>
          <w:color w:val="337AB7"/>
          <w:lang w:eastAsia="zh-CN"/>
        </w:rPr>
        <w:t>C</w:t>
      </w:r>
      <w:r>
        <w:rPr>
          <w:color w:val="337AB7"/>
        </w:rPr>
        <w:t xml:space="preserve">ountries: </w:t>
      </w:r>
      <w:r>
        <w:rPr>
          <w:rFonts w:hint="eastAsia"/>
          <w:color w:val="337AB7"/>
          <w:lang w:eastAsia="zh-CN"/>
        </w:rPr>
        <w:t>A</w:t>
      </w:r>
      <w:r>
        <w:rPr>
          <w:color w:val="337AB7"/>
        </w:rPr>
        <w:t xml:space="preserve"> </w:t>
      </w:r>
      <w:r>
        <w:rPr>
          <w:rFonts w:hint="eastAsia"/>
          <w:color w:val="337AB7"/>
          <w:lang w:eastAsia="zh-CN"/>
        </w:rPr>
        <w:t>C</w:t>
      </w:r>
      <w:r>
        <w:rPr>
          <w:color w:val="337AB7"/>
        </w:rPr>
        <w:t xml:space="preserve">ross-sectional </w:t>
      </w:r>
      <w:r>
        <w:rPr>
          <w:rFonts w:hint="eastAsia"/>
          <w:color w:val="337AB7"/>
          <w:lang w:eastAsia="zh-CN"/>
        </w:rPr>
        <w:t>S</w:t>
      </w:r>
      <w:r>
        <w:rPr>
          <w:color w:val="337AB7"/>
        </w:rPr>
        <w:t>urvey</w:t>
      </w:r>
    </w:p>
    <w:p/>
    <w:p>
      <w:pPr>
        <w:pStyle w:val="6"/>
        <w:spacing w:before="73" w:line="198" w:lineRule="exact"/>
        <w:ind w:left="100" w:right="5987"/>
        <w:rPr>
          <w:rFonts w:ascii="Arial"/>
          <w:sz w:val="20"/>
        </w:rPr>
        <w:sectPr>
          <w:headerReference r:id="rId3" w:type="default"/>
          <w:footerReference r:id="rId4" w:type="default"/>
          <w:type w:val="continuous"/>
          <w:pgSz w:w="11910" w:h="16840"/>
          <w:pgMar w:top="1740" w:right="600" w:bottom="840" w:left="620" w:header="541" w:footer="642" w:gutter="0"/>
          <w:cols w:space="720" w:num="1"/>
        </w:sectPr>
      </w:pPr>
      <w:r>
        <w:rPr>
          <w:rFonts w:ascii="Arial"/>
        </w:rPr>
        <w:t xml:space="preserve">Afewerki Weldezghi Tesfay, BA, MSC, Tongji Medical College, Huazhong University of Science and Technology, Wuhan, Hubei, China </w:t>
      </w:r>
    </w:p>
    <w:p>
      <w:pPr>
        <w:pStyle w:val="6"/>
        <w:spacing w:before="3"/>
        <w:rPr>
          <w:rFonts w:ascii="Arial"/>
          <w:sz w:val="21"/>
        </w:rPr>
      </w:pPr>
    </w:p>
    <w:p>
      <w:pPr>
        <w:rPr>
          <w:rFonts w:ascii="Arial"/>
          <w:sz w:val="21"/>
        </w:rPr>
        <w:sectPr>
          <w:type w:val="continuous"/>
          <w:pgSz w:w="11910" w:h="16840"/>
          <w:pgMar w:top="1742" w:right="605" w:bottom="835" w:left="620" w:header="547" w:footer="648" w:gutter="0"/>
          <w:cols w:space="0" w:num="1"/>
          <w:rtlGutter w:val="0"/>
          <w:docGrid w:linePitch="0" w:charSpace="0"/>
        </w:sectPr>
      </w:pPr>
    </w:p>
    <w:p>
      <w:pPr>
        <w:pStyle w:val="4"/>
        <w:spacing w:before="147"/>
        <w:jc w:val="both"/>
      </w:pPr>
      <w:r>
        <w:rPr>
          <w:color w:val="BF5A14"/>
        </w:rPr>
        <w:t xml:space="preserve">Abstract </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both"/>
        <w:textAlignment w:val="auto"/>
        <w:outlineLvl w:val="9"/>
        <w:rPr>
          <w:rFonts w:hint="eastAsia" w:ascii="Tw Cen MT" w:hAnsi="Tw Cen MT" w:eastAsia="Tw Cen MT" w:cs="Tw Cen MT"/>
          <w:sz w:val="18"/>
          <w:szCs w:val="18"/>
          <w:lang w:val="en-US" w:eastAsia="en-US" w:bidi="ar-SA"/>
        </w:rPr>
      </w:pPr>
      <w:r>
        <w:rPr>
          <w:rFonts w:hint="eastAsia" w:ascii="Tw Cen MT" w:hAnsi="Tw Cen MT" w:eastAsia="Tw Cen MT" w:cs="Tw Cen MT"/>
          <w:b/>
          <w:bCs/>
          <w:sz w:val="18"/>
          <w:szCs w:val="18"/>
          <w:u w:val="single"/>
          <w:lang w:val="en-US" w:eastAsia="zh-CN" w:bidi="ar-SA"/>
        </w:rPr>
        <w:t>Statement of the Problem:</w:t>
      </w:r>
      <w:r>
        <w:rPr>
          <w:rFonts w:hint="eastAsia" w:ascii="Tw Cen MT" w:hAnsi="Tw Cen MT" w:eastAsia="Tw Cen MT" w:cs="Tw Cen MT"/>
          <w:sz w:val="18"/>
          <w:szCs w:val="18"/>
          <w:lang w:val="en-US" w:eastAsia="zh-CN" w:bidi="ar-SA"/>
        </w:rPr>
        <w:t xml:space="preserve"> As the global HIV/AIDS epicenter, </w:t>
      </w:r>
      <w:r>
        <w:rPr>
          <w:rFonts w:hint="eastAsia" w:ascii="Tw Cen MT" w:hAnsi="Tw Cen MT" w:eastAsia="Tw Cen MT" w:cs="Tw Cen MT"/>
          <w:sz w:val="18"/>
          <w:szCs w:val="18"/>
          <w:lang w:val="en-US" w:eastAsia="en-US" w:bidi="ar-SA"/>
        </w:rPr>
        <w:t>the sub-Saharan Africa (SSA)</w:t>
      </w:r>
      <w:r>
        <w:rPr>
          <w:rFonts w:hint="eastAsia" w:ascii="Tw Cen MT" w:hAnsi="Tw Cen MT" w:eastAsia="Tw Cen MT" w:cs="Tw Cen MT"/>
          <w:sz w:val="18"/>
          <w:szCs w:val="18"/>
          <w:lang w:val="en-US" w:eastAsia="zh-CN" w:bidi="ar-SA"/>
        </w:rPr>
        <w:t xml:space="preserve"> has been conducting the</w:t>
      </w:r>
      <w:r>
        <w:rPr>
          <w:rFonts w:hint="eastAsia" w:ascii="Tw Cen MT" w:hAnsi="Tw Cen MT" w:eastAsia="Tw Cen MT" w:cs="Tw Cen MT"/>
          <w:sz w:val="18"/>
          <w:szCs w:val="18"/>
          <w:lang w:val="en-US" w:eastAsia="en-US" w:bidi="ar-SA"/>
        </w:rPr>
        <w:t xml:space="preserve"> </w:t>
      </w:r>
      <w:r>
        <w:rPr>
          <w:rFonts w:hint="eastAsia" w:ascii="Tw Cen MT" w:hAnsi="Tw Cen MT" w:eastAsia="Tw Cen MT" w:cs="Tw Cen MT"/>
          <w:sz w:val="18"/>
          <w:szCs w:val="18"/>
          <w:lang w:val="en-US" w:eastAsia="zh-CN" w:bidi="ar-SA"/>
        </w:rPr>
        <w:t>national HIV voluntary counselling and testing (VCT) campaign to control HIV infection. To explore</w:t>
      </w:r>
      <w:r>
        <w:rPr>
          <w:rFonts w:hint="eastAsia" w:ascii="Tw Cen MT" w:hAnsi="Tw Cen MT" w:eastAsia="Tw Cen MT" w:cs="Tw Cen MT"/>
          <w:sz w:val="18"/>
          <w:szCs w:val="18"/>
          <w:lang w:val="en-US" w:eastAsia="en-US" w:bidi="ar-SA"/>
        </w:rPr>
        <w:t xml:space="preserve"> </w:t>
      </w:r>
      <w:r>
        <w:rPr>
          <w:rFonts w:hint="eastAsia" w:ascii="Tw Cen MT" w:hAnsi="Tw Cen MT" w:eastAsia="Tw Cen MT" w:cs="Tw Cen MT"/>
          <w:sz w:val="18"/>
          <w:szCs w:val="18"/>
          <w:lang w:val="en-US" w:eastAsia="zh-CN" w:bidi="ar-SA"/>
        </w:rPr>
        <w:t>a practical puzzle about why high-level VCT is related inconsistently to low-level population HIV infection,</w:t>
      </w:r>
      <w:r>
        <w:rPr>
          <w:rFonts w:hint="eastAsia" w:ascii="Tw Cen MT" w:hAnsi="Tw Cen MT" w:eastAsia="Tw Cen MT" w:cs="Tw Cen MT"/>
          <w:sz w:val="18"/>
          <w:szCs w:val="18"/>
          <w:lang w:val="en-US" w:eastAsia="en-US" w:bidi="ar-SA"/>
        </w:rPr>
        <w:t xml:space="preserve"> </w:t>
      </w:r>
      <w:r>
        <w:rPr>
          <w:rFonts w:hint="eastAsia" w:ascii="Tw Cen MT" w:hAnsi="Tw Cen MT" w:eastAsia="Tw Cen MT" w:cs="Tw Cen MT"/>
          <w:sz w:val="18"/>
          <w:szCs w:val="18"/>
          <w:lang w:val="en-US" w:eastAsia="zh-CN" w:bidi="ar-SA"/>
        </w:rPr>
        <w:t>we performed an integrative structure analysis to identify and characterize the path model for VCT uptake on HIV-related</w:t>
      </w:r>
      <w:r>
        <w:rPr>
          <w:rFonts w:hint="eastAsia" w:ascii="Tw Cen MT" w:hAnsi="Tw Cen MT" w:eastAsia="Tw Cen MT" w:cs="Tw Cen MT"/>
          <w:sz w:val="18"/>
          <w:szCs w:val="18"/>
          <w:lang w:val="en-US" w:eastAsia="en-US" w:bidi="ar-SA"/>
        </w:rPr>
        <w:t xml:space="preserve"> </w:t>
      </w:r>
      <w:r>
        <w:rPr>
          <w:rFonts w:hint="eastAsia" w:ascii="Tw Cen MT" w:hAnsi="Tw Cen MT" w:eastAsia="Tw Cen MT" w:cs="Tw Cen MT"/>
          <w:sz w:val="18"/>
          <w:szCs w:val="18"/>
          <w:lang w:val="en-US" w:eastAsia="zh-CN" w:bidi="ar-SA"/>
        </w:rPr>
        <w:t xml:space="preserve">comprehensive </w:t>
      </w:r>
      <w:r>
        <w:rPr>
          <w:rFonts w:hint="eastAsia" w:ascii="Tw Cen MT" w:hAnsi="Tw Cen MT" w:eastAsia="Tw Cen MT" w:cs="Tw Cen MT"/>
          <w:sz w:val="18"/>
          <w:szCs w:val="18"/>
          <w:lang w:val="en-US" w:eastAsia="en-US" w:bidi="ar-SA"/>
        </w:rPr>
        <w:t>knowledge, attitude</w:t>
      </w:r>
      <w:r>
        <w:rPr>
          <w:rFonts w:hint="eastAsia" w:ascii="Tw Cen MT" w:hAnsi="Tw Cen MT" w:eastAsia="Tw Cen MT" w:cs="Tw Cen MT"/>
          <w:sz w:val="18"/>
          <w:szCs w:val="18"/>
          <w:lang w:val="en-US" w:eastAsia="zh-CN" w:bidi="ar-SA"/>
        </w:rPr>
        <w:t xml:space="preserve"> towards people living with HIV/AIDS (PLWHA)</w:t>
      </w:r>
      <w:r>
        <w:rPr>
          <w:rFonts w:hint="eastAsia" w:ascii="Tw Cen MT" w:hAnsi="Tw Cen MT" w:eastAsia="Tw Cen MT" w:cs="Tw Cen MT"/>
          <w:sz w:val="18"/>
          <w:szCs w:val="18"/>
          <w:lang w:val="en-US" w:eastAsia="en-US" w:bidi="ar-SA"/>
        </w:rPr>
        <w:t xml:space="preserve"> and risky sexual behavior</w:t>
      </w:r>
      <w:r>
        <w:rPr>
          <w:rFonts w:hint="eastAsia" w:ascii="Tw Cen MT" w:hAnsi="Tw Cen MT" w:eastAsia="Tw Cen MT" w:cs="Tw Cen MT"/>
          <w:sz w:val="18"/>
          <w:szCs w:val="18"/>
          <w:lang w:val="en-US" w:eastAsia="zh-CN" w:bidi="ar-SA"/>
        </w:rPr>
        <w:t>, among adults</w:t>
      </w:r>
      <w:r>
        <w:rPr>
          <w:rFonts w:hint="eastAsia" w:ascii="Tw Cen MT" w:hAnsi="Tw Cen MT" w:eastAsia="Tw Cen MT" w:cs="Tw Cen MT"/>
          <w:sz w:val="18"/>
          <w:szCs w:val="18"/>
          <w:lang w:val="en-US" w:eastAsia="en-US" w:bidi="ar-SA"/>
        </w:rPr>
        <w:t xml:space="preserve">. </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both"/>
        <w:textAlignment w:val="auto"/>
        <w:outlineLvl w:val="9"/>
        <w:rPr>
          <w:rFonts w:hint="eastAsia" w:ascii="Tw Cen MT" w:hAnsi="Tw Cen MT" w:eastAsia="Tw Cen MT" w:cs="Tw Cen MT"/>
          <w:sz w:val="18"/>
          <w:szCs w:val="18"/>
          <w:lang w:val="en-US" w:eastAsia="en-US" w:bidi="ar-SA"/>
        </w:rPr>
      </w:pPr>
      <w:r>
        <w:rPr>
          <w:rFonts w:hint="eastAsia" w:ascii="Tw Cen MT" w:hAnsi="Tw Cen MT" w:eastAsia="Tw Cen MT" w:cs="Tw Cen MT"/>
          <w:b/>
          <w:bCs/>
          <w:sz w:val="18"/>
          <w:szCs w:val="18"/>
          <w:u w:val="single"/>
          <w:lang w:val="en-US" w:eastAsia="zh-CN" w:bidi="ar-SA"/>
        </w:rPr>
        <w:t>Methodology &amp; Theoretical Orientation:</w:t>
      </w:r>
      <w:r>
        <w:rPr>
          <w:rFonts w:hint="eastAsia" w:ascii="Tw Cen MT" w:hAnsi="Tw Cen MT" w:eastAsia="Tw Cen MT" w:cs="Tw Cen MT"/>
          <w:sz w:val="18"/>
          <w:szCs w:val="18"/>
          <w:lang w:val="en-US" w:eastAsia="zh-CN" w:bidi="ar-SA"/>
        </w:rPr>
        <w:t xml:space="preserve"> Adjusted by the demographic and socio-economic covariates, complex sample logistic regression was employed to build the path model for VCT uptake in a nationally representative dataset </w:t>
      </w:r>
      <w:r>
        <w:rPr>
          <w:rFonts w:hint="eastAsia" w:ascii="Tw Cen MT" w:hAnsi="Tw Cen MT" w:eastAsia="Tw Cen MT" w:cs="Tw Cen MT"/>
          <w:sz w:val="18"/>
          <w:szCs w:val="18"/>
          <w:lang w:val="en-US" w:eastAsia="en-US" w:bidi="ar-SA"/>
        </w:rPr>
        <w:t xml:space="preserve">from the </w:t>
      </w:r>
      <w:r>
        <w:rPr>
          <w:rFonts w:hint="eastAsia" w:ascii="Tw Cen MT" w:hAnsi="Tw Cen MT" w:eastAsia="Tw Cen MT" w:cs="Tw Cen MT"/>
          <w:sz w:val="18"/>
          <w:szCs w:val="18"/>
          <w:lang w:val="en-US" w:eastAsia="zh-CN" w:bidi="ar-SA"/>
        </w:rPr>
        <w:t>D</w:t>
      </w:r>
      <w:r>
        <w:rPr>
          <w:rFonts w:hint="eastAsia" w:ascii="Tw Cen MT" w:hAnsi="Tw Cen MT" w:eastAsia="Tw Cen MT" w:cs="Tw Cen MT"/>
          <w:sz w:val="18"/>
          <w:szCs w:val="18"/>
          <w:lang w:val="en-US" w:eastAsia="en-US" w:bidi="ar-SA"/>
        </w:rPr>
        <w:t xml:space="preserve">emographic and </w:t>
      </w:r>
      <w:r>
        <w:rPr>
          <w:rFonts w:hint="eastAsia" w:ascii="Tw Cen MT" w:hAnsi="Tw Cen MT" w:eastAsia="Tw Cen MT" w:cs="Tw Cen MT"/>
          <w:sz w:val="18"/>
          <w:szCs w:val="18"/>
          <w:lang w:val="en-US" w:eastAsia="zh-CN" w:bidi="ar-SA"/>
        </w:rPr>
        <w:t>H</w:t>
      </w:r>
      <w:r>
        <w:rPr>
          <w:rFonts w:hint="eastAsia" w:ascii="Tw Cen MT" w:hAnsi="Tw Cen MT" w:eastAsia="Tw Cen MT" w:cs="Tw Cen MT"/>
          <w:sz w:val="18"/>
          <w:szCs w:val="18"/>
          <w:lang w:val="en-US" w:eastAsia="en-US" w:bidi="ar-SA"/>
        </w:rPr>
        <w:t xml:space="preserve">ealth </w:t>
      </w:r>
      <w:r>
        <w:rPr>
          <w:rFonts w:hint="eastAsia" w:ascii="Tw Cen MT" w:hAnsi="Tw Cen MT" w:eastAsia="Tw Cen MT" w:cs="Tw Cen MT"/>
          <w:sz w:val="18"/>
          <w:szCs w:val="18"/>
          <w:lang w:val="en-US" w:eastAsia="zh-CN" w:bidi="ar-SA"/>
        </w:rPr>
        <w:t>S</w:t>
      </w:r>
      <w:r>
        <w:rPr>
          <w:rFonts w:hint="eastAsia" w:ascii="Tw Cen MT" w:hAnsi="Tw Cen MT" w:eastAsia="Tw Cen MT" w:cs="Tw Cen MT"/>
          <w:sz w:val="18"/>
          <w:szCs w:val="18"/>
          <w:lang w:val="en-US" w:eastAsia="en-US" w:bidi="ar-SA"/>
        </w:rPr>
        <w:t xml:space="preserve">urvey of seven </w:t>
      </w:r>
      <w:r>
        <w:rPr>
          <w:rFonts w:hint="eastAsia" w:ascii="Tw Cen MT" w:hAnsi="Tw Cen MT" w:eastAsia="Tw Cen MT" w:cs="Tw Cen MT"/>
          <w:sz w:val="18"/>
          <w:szCs w:val="18"/>
          <w:lang w:val="en-US" w:eastAsia="zh-CN" w:bidi="ar-SA"/>
        </w:rPr>
        <w:t xml:space="preserve">SSA </w:t>
      </w:r>
      <w:r>
        <w:rPr>
          <w:rFonts w:hint="eastAsia" w:ascii="Tw Cen MT" w:hAnsi="Tw Cen MT" w:eastAsia="Tw Cen MT" w:cs="Tw Cen MT"/>
          <w:sz w:val="18"/>
          <w:szCs w:val="18"/>
          <w:lang w:val="en-US" w:eastAsia="en-US" w:bidi="ar-SA"/>
        </w:rPr>
        <w:t xml:space="preserve">countries. </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both"/>
        <w:textAlignment w:val="auto"/>
        <w:outlineLvl w:val="9"/>
        <w:rPr>
          <w:rFonts w:hint="eastAsia" w:ascii="Tw Cen MT" w:hAnsi="Tw Cen MT" w:eastAsia="Tw Cen MT" w:cs="Tw Cen MT"/>
          <w:sz w:val="18"/>
          <w:szCs w:val="18"/>
          <w:lang w:val="en-US" w:eastAsia="en-US" w:bidi="ar-SA"/>
        </w:rPr>
      </w:pPr>
      <w:r>
        <w:rPr>
          <w:rFonts w:hint="eastAsia" w:ascii="Tw Cen MT" w:hAnsi="Tw Cen MT" w:eastAsia="Tw Cen MT" w:cs="Tw Cen MT"/>
          <w:b/>
          <w:bCs/>
          <w:sz w:val="18"/>
          <w:szCs w:val="18"/>
          <w:u w:val="single"/>
          <w:lang w:val="en-US" w:eastAsia="zh-CN" w:bidi="ar-SA"/>
        </w:rPr>
        <w:t>Findings:</w:t>
      </w:r>
      <w:r>
        <w:rPr>
          <w:rFonts w:hint="eastAsia" w:ascii="Tw Cen MT" w:hAnsi="Tw Cen MT" w:eastAsia="Tw Cen MT" w:cs="Tw Cen MT"/>
          <w:sz w:val="18"/>
          <w:szCs w:val="18"/>
          <w:lang w:val="en-US" w:eastAsia="zh-CN" w:bidi="ar-SA"/>
        </w:rPr>
        <w:t xml:space="preserve"> We identified a tight structure of path connections among VCT uptake and the three main influential factors for the countries with lower population HIV incidence and a loose structure for those with the highest population HIV incidence. Using a mediation analysis, we detected the strongest direct positive effect of highly risky sexual behavior on VCT uptake (the adjusted odds ratio ranged from 1.883 to 5.540 and all p-values &lt;0.001 in the sampled countries). But these direct and indirect paths of HIV-related knowledge and attitude towards PLWHA to VCT uptake did not have consistent significance. Like partial correlation coefficient for two continuous variables, we developed partial contingency coefficient for two categorical variables to measure their association degree with controlling the effect of covariates. The partial contingency coefficients for all direct and indirect paths to VCT uptake were adopted as partial least squares (PLS) regressors on 2013-2016 HIV incidence rates of the sampled countries. According to Wold’s criterion, we determined two critical paths to VCT uptake, the direct path of risky sexual behavior and the indirect path of HIV-related comprehensive knowledge through risky sexual behavior, in affecting population HIV incidence. Population HIV incidence was associated positively with the former path, but negatively with the latter, since their standardized PLS coefficients range from 0.52 to 0.57 and from -0.61 to -0.60, respectively. Our study’s limitations are that HIV testing status is subject to information bias, and that further work is needed to validate these findings using a prospective study. </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both"/>
        <w:textAlignment w:val="auto"/>
        <w:outlineLvl w:val="9"/>
        <w:rPr>
          <w:rFonts w:hint="eastAsia" w:ascii="Tw Cen MT" w:hAnsi="Tw Cen MT" w:eastAsia="Tw Cen MT" w:cs="Tw Cen MT"/>
          <w:sz w:val="18"/>
          <w:szCs w:val="18"/>
          <w:lang w:val="en-US" w:eastAsia="zh-CN" w:bidi="ar-SA"/>
        </w:rPr>
      </w:pPr>
      <w:r>
        <w:rPr>
          <w:rFonts w:hint="eastAsia" w:ascii="Tw Cen MT" w:hAnsi="Tw Cen MT" w:eastAsia="Tw Cen MT" w:cs="Tw Cen MT"/>
          <w:b/>
          <w:bCs/>
          <w:sz w:val="18"/>
          <w:szCs w:val="18"/>
          <w:lang w:val="en-US" w:eastAsia="zh-CN" w:bidi="ar-SA"/>
        </w:rPr>
        <w:t>Conclusion &amp; Significance:</w:t>
      </w:r>
      <w:r>
        <w:rPr>
          <w:rFonts w:hint="eastAsia" w:ascii="Tw Cen MT" w:hAnsi="Tw Cen MT" w:eastAsia="Tw Cen MT" w:cs="Tw Cen MT"/>
          <w:sz w:val="18"/>
          <w:szCs w:val="18"/>
          <w:lang w:val="en-US" w:eastAsia="zh-CN" w:bidi="ar-SA"/>
        </w:rPr>
        <w:t xml:space="preserve"> This work identifies the opposite effect on population HIV incidence from two critical paths to VCT uptake, the direct path of risky sexual behavior and the indirect path of HIV-related knowledge to VCT uptake, and provides a heuristic resource for future studies of HIV/AIDS prevention system design</w:t>
      </w:r>
      <w:r>
        <w:rPr>
          <w:rFonts w:hint="eastAsia" w:ascii="Tw Cen MT" w:hAnsi="Tw Cen MT" w:eastAsia="Tw Cen MT" w:cs="Tw Cen MT"/>
          <w:sz w:val="18"/>
          <w:szCs w:val="18"/>
          <w:lang w:val="en-US" w:eastAsia="en-US" w:bidi="ar-SA"/>
        </w:rPr>
        <w:t xml:space="preserve"> based on </w:t>
      </w:r>
      <w:r>
        <w:rPr>
          <w:rFonts w:hint="eastAsia" w:ascii="Tw Cen MT" w:hAnsi="Tw Cen MT" w:eastAsia="Tw Cen MT" w:cs="Tw Cen MT"/>
          <w:sz w:val="18"/>
          <w:szCs w:val="18"/>
          <w:lang w:val="en-US" w:eastAsia="zh-CN" w:bidi="ar-SA"/>
        </w:rPr>
        <w:t>optimizing and tightening the path structure</w:t>
      </w:r>
      <w:r>
        <w:rPr>
          <w:rFonts w:hint="eastAsia" w:ascii="Tw Cen MT" w:hAnsi="Tw Cen MT" w:eastAsia="Tw Cen MT" w:cs="Tw Cen MT"/>
          <w:sz w:val="18"/>
          <w:szCs w:val="18"/>
          <w:lang w:val="en-US" w:eastAsia="en-US" w:bidi="ar-SA"/>
        </w:rPr>
        <w:t xml:space="preserve"> of </w:t>
      </w:r>
      <w:r>
        <w:rPr>
          <w:rFonts w:hint="eastAsia" w:ascii="Tw Cen MT" w:hAnsi="Tw Cen MT" w:eastAsia="Tw Cen MT" w:cs="Tw Cen MT"/>
          <w:sz w:val="18"/>
          <w:szCs w:val="18"/>
          <w:lang w:val="en-US" w:eastAsia="zh-CN" w:bidi="ar-SA"/>
        </w:rPr>
        <w:t xml:space="preserve">VCT on </w:t>
      </w:r>
      <w:r>
        <w:rPr>
          <w:rFonts w:hint="eastAsia" w:ascii="Tw Cen MT" w:hAnsi="Tw Cen MT" w:eastAsia="Tw Cen MT" w:cs="Tw Cen MT"/>
          <w:sz w:val="18"/>
          <w:szCs w:val="18"/>
          <w:lang w:val="en-US" w:eastAsia="en-US" w:bidi="ar-SA"/>
        </w:rPr>
        <w:t>knowledge, attitude</w:t>
      </w:r>
      <w:r>
        <w:rPr>
          <w:rFonts w:hint="eastAsia" w:ascii="Tw Cen MT" w:hAnsi="Tw Cen MT" w:eastAsia="Tw Cen MT" w:cs="Tw Cen MT"/>
          <w:sz w:val="18"/>
          <w:szCs w:val="18"/>
          <w:lang w:val="en-US" w:eastAsia="zh-CN" w:bidi="ar-SA"/>
        </w:rPr>
        <w:t>,</w:t>
      </w:r>
      <w:r>
        <w:rPr>
          <w:rFonts w:hint="eastAsia" w:ascii="Tw Cen MT" w:hAnsi="Tw Cen MT" w:eastAsia="Tw Cen MT" w:cs="Tw Cen MT"/>
          <w:sz w:val="18"/>
          <w:szCs w:val="18"/>
          <w:lang w:val="en-US" w:eastAsia="en-US" w:bidi="ar-SA"/>
        </w:rPr>
        <w:t xml:space="preserve"> and behavior</w:t>
      </w:r>
      <w:r>
        <w:rPr>
          <w:rFonts w:hint="eastAsia" w:ascii="Tw Cen MT" w:hAnsi="Tw Cen MT" w:eastAsia="Tw Cen MT" w:cs="Tw Cen MT"/>
          <w:sz w:val="18"/>
          <w:szCs w:val="18"/>
          <w:lang w:val="en-US" w:eastAsia="zh-CN" w:bidi="ar-SA"/>
        </w:rPr>
        <w:t>.</w:t>
      </w:r>
    </w:p>
    <w:p>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both"/>
        <w:textAlignment w:val="auto"/>
        <w:outlineLvl w:val="9"/>
        <w:rPr>
          <w:rFonts w:hint="eastAsia" w:ascii="Tw Cen MT" w:hAnsi="Tw Cen MT" w:eastAsia="Tw Cen MT" w:cs="Tw Cen MT"/>
          <w:sz w:val="18"/>
          <w:szCs w:val="18"/>
          <w:lang w:val="en-US" w:eastAsia="en-US" w:bidi="ar-SA"/>
        </w:rPr>
      </w:pPr>
      <w:r>
        <w:rPr>
          <w:rFonts w:hint="eastAsia" w:ascii="Tw Cen MT" w:hAnsi="Tw Cen MT" w:eastAsia="Tw Cen MT" w:cs="Tw Cen MT"/>
          <w:sz w:val="18"/>
          <w:szCs w:val="18"/>
          <w:lang w:val="en-US" w:eastAsia="en-US" w:bidi="ar-SA"/>
        </w:rPr>
        <w:t>Keywords: Voluntary HIV Counselling and Testing, Adults, sub-Saharan, Accepting attitudes, Comprehensive Knowledge, Risky Sexual Behavior.</w:t>
      </w:r>
    </w:p>
    <w:p>
      <w:pPr>
        <w:pStyle w:val="6"/>
        <w:spacing w:before="2"/>
        <w:rPr>
          <w:rFonts w:ascii="Arial"/>
          <w:b/>
          <w:sz w:val="16"/>
        </w:rPr>
      </w:pPr>
    </w:p>
    <w:p>
      <w:pPr>
        <w:spacing w:before="157"/>
        <w:ind w:left="100"/>
        <w:rPr>
          <w:rFonts w:ascii="Arial"/>
          <w:b/>
          <w:sz w:val="20"/>
        </w:rPr>
      </w:pPr>
      <w:r>
        <w:rPr>
          <w:rFonts w:ascii="Arial"/>
          <w:b/>
          <w:color w:val="BF5A14"/>
          <w:sz w:val="20"/>
          <w:highlight w:val="yellow"/>
        </w:rPr>
        <w:t>Recent publications</w:t>
      </w:r>
      <w:r>
        <w:rPr>
          <w:rFonts w:ascii="Arial"/>
          <w:b/>
          <w:color w:val="BF5A14"/>
          <w:sz w:val="20"/>
        </w:rPr>
        <w:t xml:space="preserve"> (minimum 5)</w:t>
      </w:r>
    </w:p>
    <w:p>
      <w:pPr>
        <w:pStyle w:val="12"/>
        <w:numPr>
          <w:ilvl w:val="0"/>
          <w:numId w:val="1"/>
        </w:numPr>
        <w:tabs>
          <w:tab w:val="left" w:pos="384"/>
        </w:tabs>
        <w:spacing w:before="103" w:line="216" w:lineRule="exact"/>
        <w:ind w:left="389" w:right="144" w:hanging="288"/>
        <w:rPr>
          <w:bCs/>
          <w:spacing w:val="-4"/>
          <w:sz w:val="18"/>
        </w:rPr>
      </w:pPr>
      <w:r>
        <w:rPr>
          <w:bCs/>
          <w:spacing w:val="-4"/>
          <w:sz w:val="18"/>
        </w:rPr>
        <w:t>Afewerki WT, Minet TH, Eyasu HT*, Simon AG, Henok KA and Russom T</w:t>
      </w:r>
      <w:r>
        <w:rPr>
          <w:spacing w:val="-4"/>
          <w:sz w:val="18"/>
        </w:rPr>
        <w:t>, 2016, “</w:t>
      </w:r>
      <w:r>
        <w:rPr>
          <w:bCs/>
          <w:spacing w:val="-4"/>
          <w:sz w:val="18"/>
        </w:rPr>
        <w:t>Associates of Comprehensive HIV/AIDS Knowledge and Acceptance Attitude among Male Youth Aged 15-24: Comparison Study among Ivory Coast, Cameroon and Gabon”,</w:t>
      </w:r>
      <w:r>
        <w:rPr>
          <w:spacing w:val="-4"/>
          <w:sz w:val="18"/>
        </w:rPr>
        <w:t xml:space="preserve"> </w:t>
      </w:r>
      <w:r>
        <w:rPr>
          <w:bCs/>
          <w:spacing w:val="-4"/>
          <w:sz w:val="18"/>
        </w:rPr>
        <w:t>Journal of AIDS &amp; Clinical Research,</w:t>
      </w:r>
      <w:r>
        <w:rPr>
          <w:spacing w:val="-4"/>
          <w:sz w:val="18"/>
        </w:rPr>
        <w:t xml:space="preserve"> </w:t>
      </w:r>
      <w:r>
        <w:rPr>
          <w:bCs/>
          <w:spacing w:val="-4"/>
          <w:sz w:val="18"/>
        </w:rPr>
        <w:t>Volume 7 (Issue 10 • 1000618), DOI: 10.4172/2155-6113.1000618</w:t>
      </w:r>
    </w:p>
    <w:p>
      <w:pPr>
        <w:pStyle w:val="12"/>
        <w:numPr>
          <w:ilvl w:val="0"/>
          <w:numId w:val="1"/>
        </w:numPr>
        <w:tabs>
          <w:tab w:val="left" w:pos="384"/>
        </w:tabs>
        <w:spacing w:before="103" w:line="216" w:lineRule="exact"/>
        <w:ind w:left="389" w:right="137" w:hanging="283"/>
        <w:rPr>
          <w:spacing w:val="-4"/>
          <w:sz w:val="18"/>
        </w:rPr>
      </w:pPr>
      <w:r>
        <w:rPr>
          <w:bCs/>
          <w:spacing w:val="-4"/>
          <w:sz w:val="18"/>
        </w:rPr>
        <w:t>Afewerki WT, Minet TH, Eyasu HT, Simon AG, Henok KA</w:t>
      </w:r>
      <w:r>
        <w:rPr>
          <w:bCs/>
          <w:spacing w:val="-4"/>
          <w:sz w:val="18"/>
          <w:vertAlign w:val="superscript"/>
        </w:rPr>
        <w:t xml:space="preserve">* </w:t>
      </w:r>
      <w:r>
        <w:rPr>
          <w:bCs/>
          <w:spacing w:val="-4"/>
          <w:sz w:val="18"/>
        </w:rPr>
        <w:t>and Russom T</w:t>
      </w:r>
      <w:r>
        <w:rPr>
          <w:spacing w:val="-4"/>
          <w:sz w:val="18"/>
        </w:rPr>
        <w:t>, “</w:t>
      </w:r>
      <w:r>
        <w:rPr>
          <w:bCs/>
          <w:spacing w:val="-4"/>
          <w:sz w:val="18"/>
        </w:rPr>
        <w:t>Associates of Comprehensive HIV/AIDS Knowledge and Acceptance Attitude among Female Youth Aged 15-24: Comparison Study among Ivory Coast, Cameroon and Gabon”, International Journal of Current Research, Vol. 9, Issue, 04, pp. 48877-48884, April, 2017, ISSN: 0975-833X</w:t>
      </w:r>
    </w:p>
    <w:p>
      <w:pPr>
        <w:pStyle w:val="12"/>
        <w:numPr>
          <w:numId w:val="0"/>
        </w:numPr>
        <w:tabs>
          <w:tab w:val="left" w:pos="384"/>
        </w:tabs>
        <w:spacing w:before="103" w:line="216" w:lineRule="exact"/>
        <w:ind w:left="106" w:leftChars="0" w:right="137" w:rightChars="0"/>
        <w:rPr>
          <w:spacing w:val="-4"/>
          <w:sz w:val="18"/>
        </w:rPr>
      </w:pPr>
      <w:r>
        <w:rPr>
          <w:rFonts w:ascii="Arial"/>
          <w:b/>
          <w:color w:val="BF5A14"/>
          <w:sz w:val="20"/>
          <w:highlight w:val="yellow"/>
          <w:lang w:val="en-US"/>
        </w:rPr>
        <w:t>P</w:t>
      </w:r>
      <w:r>
        <w:rPr>
          <w:rFonts w:ascii="Arial"/>
          <w:b/>
          <w:color w:val="BF5A14"/>
          <w:sz w:val="20"/>
          <w:highlight w:val="yellow"/>
        </w:rPr>
        <w:t>ublications</w:t>
      </w:r>
      <w:r>
        <w:rPr>
          <w:rFonts w:ascii="Arial"/>
          <w:b/>
          <w:color w:val="BF5A14"/>
          <w:sz w:val="20"/>
          <w:highlight w:val="yellow"/>
          <w:lang w:val="en-US"/>
        </w:rPr>
        <w:t xml:space="preserve"> under review</w:t>
      </w:r>
    </w:p>
    <w:p>
      <w:pPr>
        <w:pStyle w:val="12"/>
        <w:widowControl/>
        <w:numPr>
          <w:ilvl w:val="0"/>
          <w:numId w:val="2"/>
        </w:numPr>
        <w:spacing w:before="103" w:line="216" w:lineRule="exact"/>
        <w:ind w:left="383" w:leftChars="0" w:hanging="284" w:firstLineChars="0"/>
        <w:jc w:val="left"/>
        <w:rPr>
          <w:rFonts w:ascii="Times New Roman" w:hAnsi="Times New Roman" w:eastAsia="Calibri" w:cs="Times New Roman"/>
          <w:sz w:val="24"/>
          <w:szCs w:val="24"/>
          <w:lang w:val="en-NZ"/>
        </w:rPr>
      </w:pPr>
      <w:r>
        <w:rPr>
          <w:sz w:val="18"/>
        </w:rPr>
        <w:t>Minet Tesfai Hadish, Jing Mao</w:t>
      </w:r>
      <w:r>
        <w:rPr>
          <w:sz w:val="18"/>
          <w:vertAlign w:val="superscript"/>
        </w:rPr>
        <w:t>*</w:t>
      </w:r>
      <w:r>
        <w:rPr>
          <w:sz w:val="18"/>
        </w:rPr>
        <w:t>, Guilan Gong, Berhe Tesfai Hadish, Eyasu Habte Tesfamariam, Afewerki Weldezghi Tesfay, Okbmichael Tekle Zewde, Andom Yohannes Ghebray, Teame Russom Hadgu “Predictors of Health-seeking Behavior: HIV test experiences among youth aged 15-24 years in Cameroon and Gab</w:t>
      </w:r>
      <w:r>
        <w:rPr>
          <w:bCs/>
          <w:sz w:val="18"/>
        </w:rPr>
        <w:t>on</w:t>
      </w:r>
      <w:r>
        <w:rPr>
          <w:sz w:val="18"/>
        </w:rPr>
        <w:t>”</w:t>
      </w:r>
      <w:r>
        <w:rPr>
          <w:bCs/>
          <w:sz w:val="18"/>
        </w:rPr>
        <w:t xml:space="preserve"> Journal of Transmitted Diseases and Immunity.</w:t>
      </w:r>
    </w:p>
    <w:p>
      <w:pPr>
        <w:pStyle w:val="12"/>
        <w:widowControl/>
        <w:numPr>
          <w:ilvl w:val="0"/>
          <w:numId w:val="2"/>
        </w:numPr>
        <w:spacing w:before="103" w:line="216" w:lineRule="exact"/>
        <w:ind w:left="383" w:leftChars="0" w:hanging="284" w:firstLineChars="0"/>
        <w:jc w:val="left"/>
        <w:rPr>
          <w:rFonts w:ascii="Calibri" w:hAnsi="Calibri" w:eastAsia="Calibri" w:cs="Calibri"/>
          <w:sz w:val="18"/>
          <w:lang w:eastAsia="en-US"/>
        </w:rPr>
      </w:pPr>
      <w:r>
        <w:rPr>
          <w:rFonts w:ascii="Calibri" w:hAnsi="Calibri" w:eastAsia="Calibri" w:cs="Calibri"/>
          <w:sz w:val="18"/>
        </w:rPr>
        <w:t xml:space="preserve">Minet Tesfai Hadish, Jing Mao*, Guilan Gong, Berhe Tesfai Hadish, Eyasu Habte Tesfamariam , </w:t>
      </w:r>
      <w:r>
        <w:rPr>
          <w:rFonts w:ascii="Calibri" w:hAnsi="Calibri" w:eastAsia="Calibri" w:cs="Calibri"/>
          <w:sz w:val="18"/>
          <w:lang w:val="en-NZ"/>
        </w:rPr>
        <w:t xml:space="preserve">Afewerki Weldezghi Tesfay, Okbmichael Tekle Zewde,  </w:t>
      </w:r>
      <w:r>
        <w:rPr>
          <w:rFonts w:ascii="Calibri" w:hAnsi="Calibri" w:eastAsia="Calibri" w:cs="Calibri"/>
          <w:sz w:val="18"/>
        </w:rPr>
        <w:t>Andom Yohannes Ghebray, Teame Russom Hadgu</w:t>
      </w:r>
      <w:r>
        <w:rPr>
          <w:rFonts w:ascii="Calibri" w:hAnsi="Calibri" w:eastAsia="Calibri" w:cs="Calibri"/>
          <w:sz w:val="18"/>
          <w:lang w:val="en-US"/>
        </w:rPr>
        <w:t xml:space="preserve">, </w:t>
      </w:r>
      <w:r>
        <w:rPr>
          <w:rFonts w:hint="default" w:ascii="Calibri" w:hAnsi="Calibri" w:eastAsia="Calibri" w:cs="Calibri"/>
          <w:sz w:val="18"/>
          <w:lang w:val="en-US"/>
        </w:rPr>
        <w:t>“</w:t>
      </w:r>
      <w:r>
        <w:rPr>
          <w:rFonts w:ascii="Calibri" w:hAnsi="Calibri" w:eastAsia="Calibri" w:cs="Calibri"/>
          <w:sz w:val="18"/>
        </w:rPr>
        <w:t>Predictors of Early initiation of First Sex among Youth: Comparison Study among Cameroonian and Gabonese Youth Aged 15-24 years</w:t>
      </w:r>
      <w:r>
        <w:rPr>
          <w:rFonts w:hint="default" w:ascii="Calibri" w:hAnsi="Calibri" w:eastAsia="Calibri" w:cs="Calibri"/>
          <w:sz w:val="18"/>
          <w:lang w:val="en-US" w:eastAsia="en-US"/>
        </w:rPr>
        <w:t>”</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p>
    <w:p>
      <w:pPr>
        <w:pStyle w:val="6"/>
        <w:rPr>
          <w:rFonts w:ascii="Calibri"/>
          <w:sz w:val="20"/>
        </w:rPr>
      </w:pPr>
    </w:p>
    <w:p>
      <w:pPr>
        <w:pStyle w:val="6"/>
        <w:rPr>
          <w:rFonts w:ascii="Calibri"/>
          <w:sz w:val="20"/>
        </w:rPr>
      </w:pPr>
    </w:p>
    <w:p>
      <w:pPr>
        <w:pStyle w:val="6"/>
        <w:spacing w:line="40" w:lineRule="exact"/>
        <w:ind w:left="2202"/>
        <w:rPr>
          <w:rFonts w:ascii="Calibri"/>
          <w:sz w:val="4"/>
        </w:rPr>
        <w:sectPr>
          <w:type w:val="continuous"/>
          <w:pgSz w:w="11910" w:h="16840"/>
          <w:pgMar w:top="1740" w:right="600" w:bottom="840" w:left="620" w:header="720" w:footer="720" w:gutter="0"/>
          <w:cols w:space="720" w:num="1"/>
        </w:sectPr>
      </w:pPr>
    </w:p>
    <w:p>
      <w:pPr>
        <w:pStyle w:val="6"/>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0" t="0" r="5715" b="3175"/>
                <wp:docPr id="9"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JgsRffUBAABG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GQzsg7sAAADb&#10;AAAADwAAAGRycy9kb3ducmV2LnhtbEWPQWvDMAyF74P9B6PBbouTwcpI6/QwWClsl7qjZxGrSUgs&#10;B9ttun8/HQa9Sbyn9z5ttjc/qSvFNAQ2UBUlKOI2uIE7Az/Hz5d3UCkjO5wCk4FfSrBtHh82WLuw&#10;8IGuNndKQjjVaKDPea61Tm1PHlMRZmLRziF6zLLGTruIi4T7Sb+W5Up7HFgaepzpo6d2tBdv4PC1&#10;+14t/u1UuWjPHtmmcWeNeX6qyjWoTLd8N/9f753gC738IgPo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Qzsg7sAAADb&#10;AAAADwAAAAAAAAABACAAAAAiAAAAZHJzL2Rvd25yZXYueG1sUEsBAhQAFAAAAAgAh07iQDMvBZ47&#10;AAAAOQAAABAAAAAAAAAAAQAgAAAACgEAAGRycy9zaGFwZXhtbC54bWxQSwUGAAAAAAYABgBbAQAA&#10;tAMAAAAA&#10;">
                  <v:fill on="f" focussize="0,0"/>
                  <v:stroke weight="2pt" color="#004080" joinstyle="round"/>
                  <v:imagedata o:title=""/>
                  <o:lock v:ext="edit" aspectratio="f"/>
                </v:line>
                <w10:wrap type="none"/>
                <w10:anchorlock/>
              </v:group>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ind w:left="0" w:leftChars="0" w:right="4234" w:rightChars="0" w:firstLine="0" w:firstLineChars="0"/>
        <w:jc w:val="left"/>
        <w:textAlignment w:val="auto"/>
        <w:outlineLvl w:val="9"/>
        <w:rPr>
          <w:rFonts w:ascii="Arial"/>
          <w:color w:val="BF5A14"/>
        </w:rPr>
      </w:pPr>
      <w:r>
        <w:rPr>
          <w:lang w:val="en-IN" w:eastAsia="en-IN"/>
        </w:rPr>
        <w:drawing>
          <wp:inline distT="0" distB="0" distL="114300" distR="114300">
            <wp:extent cx="761365" cy="761365"/>
            <wp:effectExtent l="0" t="0" r="635" b="635"/>
            <wp:docPr id="8" name="Picture 8" descr="DV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V 2019"/>
                    <pic:cNvPicPr>
                      <a:picLocks noChangeAspect="1"/>
                    </pic:cNvPicPr>
                  </pic:nvPicPr>
                  <pic:blipFill>
                    <a:blip r:embed="rId6"/>
                    <a:stretch>
                      <a:fillRect/>
                    </a:stretch>
                  </pic:blipFill>
                  <pic:spPr>
                    <a:xfrm>
                      <a:off x="0" y="0"/>
                      <a:ext cx="761365" cy="761365"/>
                    </a:xfrm>
                    <a:prstGeom prst="rect">
                      <a:avLst/>
                    </a:prstGeom>
                  </pic:spPr>
                </pic:pic>
              </a:graphicData>
            </a:graphic>
          </wp:inline>
        </w:drawing>
      </w:r>
      <w:r>
        <w:rPr>
          <w:rFonts w:ascii="Arial"/>
          <w:color w:val="BF5A14"/>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4234" w:rightChars="0" w:firstLine="0" w:firstLineChars="0"/>
        <w:jc w:val="center"/>
        <w:textAlignment w:val="auto"/>
        <w:outlineLvl w:val="9"/>
        <w:rPr>
          <w:rFonts w:ascii="Arial"/>
        </w:rPr>
      </w:pPr>
      <w:r>
        <w:rPr>
          <w:rFonts w:ascii="Arial"/>
          <w:color w:val="BF5A14"/>
          <w:highlight w:val="yellow"/>
        </w:rPr>
        <w:t>Biography (150 word limit)</w:t>
      </w:r>
    </w:p>
    <w:p>
      <w:pPr>
        <w:spacing w:before="41" w:line="154" w:lineRule="exact"/>
        <w:jc w:val="both"/>
        <w:rPr>
          <w:rFonts w:ascii="Arial" w:hAnsi="Arial" w:eastAsia="Times New Roman" w:cs="Arial"/>
          <w:sz w:val="14"/>
          <w:szCs w:val="14"/>
        </w:rPr>
      </w:pPr>
      <w:r>
        <w:rPr>
          <w:rFonts w:ascii="Arial" w:hAnsi="Arial" w:cs="Arial" w:eastAsiaTheme="minorHAnsi"/>
          <w:sz w:val="14"/>
          <w:szCs w:val="14"/>
        </w:rPr>
        <w:t xml:space="preserve">Mr. Afewerki Weldezghi Tesfay </w:t>
      </w:r>
      <w:r>
        <w:rPr>
          <w:rFonts w:ascii="Arial" w:hAnsi="Arial" w:eastAsia="Times New Roman" w:cs="Arial"/>
          <w:sz w:val="14"/>
          <w:szCs w:val="14"/>
        </w:rPr>
        <w:t>is a Master’s student in school of Public Health, Tongji Medical College of Huazhong University of Science and Technology, Wuhan, Hubei, China. He graduated his Bachelor in Probability and Mathematical Statistics (BA) from College of Arts and Social Sciences, University of Asmara, Asmara, Eritrea in 2007. He worked in the College of Arts and Social Sciences for five years as an assistant lecturer, and lead as head of the freshman program office of the college for four years.</w:t>
      </w:r>
      <w:r>
        <w:rPr>
          <w:rFonts w:ascii="Arial" w:hAnsi="Arial" w:eastAsia="Times New Roman" w:cs="Arial"/>
          <w:bCs/>
          <w:sz w:val="14"/>
          <w:szCs w:val="14"/>
        </w:rPr>
        <w:t xml:space="preserve"> He also </w:t>
      </w:r>
      <w:r>
        <w:rPr>
          <w:rFonts w:ascii="Arial" w:hAnsi="Arial" w:eastAsia="Times New Roman" w:cs="Arial"/>
          <w:sz w:val="14"/>
          <w:szCs w:val="14"/>
        </w:rPr>
        <w:t>worked in different government institutions and organizations mainly: - the Ministry of Foreign Affairs, and Ministry of National Development branch of National Statistics and Evaluation Office. He has co-authored two published papers and one on progress of publication.</w:t>
      </w:r>
    </w:p>
    <w:p>
      <w:pPr>
        <w:spacing w:before="41" w:line="154" w:lineRule="exact"/>
        <w:ind w:left="213" w:right="231"/>
        <w:jc w:val="both"/>
        <w:rPr>
          <w:rFonts w:ascii="Arial"/>
          <w:sz w:val="14"/>
        </w:rPr>
        <w:sectPr>
          <w:type w:val="continuous"/>
          <w:pgSz w:w="11910" w:h="16840"/>
          <w:pgMar w:top="1740" w:right="600" w:bottom="840" w:left="620" w:header="720" w:footer="720" w:gutter="0"/>
          <w:cols w:equalWidth="0" w:num="2">
            <w:col w:w="1599" w:space="150"/>
            <w:col w:w="8941"/>
          </w:cols>
        </w:sectPr>
      </w:pPr>
    </w:p>
    <w:p>
      <w:pPr>
        <w:spacing w:before="41" w:line="154" w:lineRule="exact"/>
        <w:ind w:left="213" w:right="231"/>
        <w:jc w:val="both"/>
        <w:rPr>
          <w:rFonts w:ascii="Arial"/>
          <w:sz w:val="14"/>
        </w:rPr>
      </w:pPr>
      <w:r>
        <w:rPr>
          <w:rFonts w:ascii="Arial"/>
          <w:sz w:val="14"/>
        </w:rPr>
        <w:t>.</w:t>
      </w:r>
    </w:p>
    <w:p>
      <w:pPr>
        <w:spacing w:before="62"/>
        <w:ind w:left="4217" w:right="4235"/>
        <w:jc w:val="center"/>
        <w:rPr>
          <w:rFonts w:ascii="Arial"/>
          <w:sz w:val="14"/>
        </w:rPr>
      </w:pPr>
      <w:r>
        <w:rPr>
          <w:rFonts w:ascii="Arial"/>
          <w:sz w:val="14"/>
        </w:rPr>
        <w:t>Email:</w:t>
      </w:r>
      <w:r>
        <w:rPr>
          <w:rStyle w:val="10"/>
          <w:u w:val="none"/>
        </w:rPr>
        <w:t xml:space="preserve"> </w:t>
      </w:r>
      <w:r>
        <w:rPr>
          <w:u w:val="none"/>
        </w:rPr>
        <w:fldChar w:fldCharType="begin"/>
      </w:r>
      <w:r>
        <w:rPr>
          <w:u w:val="none"/>
        </w:rPr>
        <w:instrText xml:space="preserve"> HYPERLINK "mailto:afeto_wf_2014@yahoo.com" </w:instrText>
      </w:r>
      <w:r>
        <w:rPr>
          <w:u w:val="none"/>
        </w:rPr>
        <w:fldChar w:fldCharType="separate"/>
      </w:r>
      <w:r>
        <w:rPr>
          <w:rStyle w:val="10"/>
          <w:rFonts w:ascii="Arial"/>
          <w:sz w:val="14"/>
          <w:u w:val="none"/>
        </w:rPr>
        <w:t>afeto_wf_2014@yahoo.com</w:t>
      </w:r>
      <w:r>
        <w:rPr>
          <w:rStyle w:val="10"/>
          <w:rFonts w:ascii="Arial"/>
          <w:sz w:val="14"/>
          <w:u w:val="none"/>
        </w:rPr>
        <w:fldChar w:fldCharType="end"/>
      </w:r>
      <w:r>
        <w:rPr>
          <w:rFonts w:ascii="Arial"/>
          <w:sz w:val="14"/>
          <w:u w:val="none"/>
        </w:rPr>
        <w:t xml:space="preserve"> </w:t>
      </w:r>
    </w:p>
    <w:p>
      <w:pPr>
        <w:pStyle w:val="6"/>
        <w:spacing w:before="7"/>
        <w:rPr>
          <w:rFonts w:ascii="Arial"/>
          <w:sz w:val="21"/>
          <w:szCs w:val="13"/>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6"/>
        <w:spacing w:before="85" w:line="216" w:lineRule="exact"/>
        <w:ind w:right="138"/>
        <w:jc w:val="both"/>
        <w:rPr>
          <w:rFonts w:ascii="Calibri" w:hAnsi="Calibri"/>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SimHei">
    <w:panose1 w:val="02010600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 w:name="Cambria Math">
    <w:panose1 w:val="02040503050406030204"/>
    <w:charset w:val="00"/>
    <w:family w:val="auto"/>
    <w:pitch w:val="default"/>
    <w:sig w:usb0="E00002FF" w:usb1="420024FF" w:usb2="00000000" w:usb3="00000000" w:csb0="2000019F" w:csb1="00000000"/>
  </w:font>
  <w:font w:name="DengXian">
    <w:altName w:val="Lucida Sans Unicode"/>
    <w:panose1 w:val="02010600030101010101"/>
    <w:charset w:val="00"/>
    <w:family w:val="auto"/>
    <w:pitch w:val="default"/>
    <w:sig w:usb0="00000000" w:usb1="00000000" w:usb2="00000000" w:usb3="00000000" w:csb0="00000000" w:csb1="00000000"/>
  </w:font>
  <w:font w:name="DengXian Light">
    <w:altName w:val="Arial Unicode MS"/>
    <w:panose1 w:val="00000000000000000000"/>
    <w:charset w:val="86"/>
    <w:family w:val="auto"/>
    <w:pitch w:val="default"/>
    <w:sig w:usb0="00000000" w:usb1="00000000" w:usb2="00000016" w:usb3="00000000" w:csb0="0004000F" w:csb1="00000000"/>
  </w:font>
  <w:font w:name="MinionPro-Regular">
    <w:altName w:val="Times New Roman"/>
    <w:panose1 w:val="00000000000000000000"/>
    <w:charset w:val="00"/>
    <w:family w:val="roman"/>
    <w:pitch w:val="default"/>
    <w:sig w:usb0="00000000" w:usb1="00000000" w:usb2="00000000" w:usb3="00000000" w:csb0="00000000" w:csb1="00000000"/>
  </w:font>
  <w:font w:name="AdvOT1ef757c0+20">
    <w:altName w:val="Times New Roman"/>
    <w:panose1 w:val="00000000000000000000"/>
    <w:charset w:val="00"/>
    <w:family w:val="roman"/>
    <w:pitch w:val="default"/>
    <w:sig w:usb0="00000000" w:usb1="00000000" w:usb2="00000000" w:usb3="00000000" w:csb0="00000000" w:csb1="00000000"/>
  </w:font>
  <w:font w:name="TeX_CM_Maths_Italic">
    <w:altName w:val="Times New Roman"/>
    <w:panose1 w:val="00000000000000000000"/>
    <w:charset w:val="00"/>
    <w:family w:val="roman"/>
    <w:pitch w:val="default"/>
    <w:sig w:usb0="00000000" w:usb1="00000000" w:usb2="00000000" w:usb3="00000000" w:csb0="00000000" w:csb1="00000000"/>
  </w:font>
  <w:font w:name="AdvTT99c4c969">
    <w:altName w:val="Times New Roman"/>
    <w:panose1 w:val="00000000000000000000"/>
    <w:charset w:val="00"/>
    <w:family w:val="roman"/>
    <w:pitch w:val="default"/>
    <w:sig w:usb0="00000000" w:usb1="00000000" w:usb2="00000000" w:usb3="00000000" w:csb0="00000000" w:csb1="00000000"/>
  </w:font>
  <w:font w:name="SghbfgAdvTT1b53b5fb.I">
    <w:altName w:val="Times New Roman"/>
    <w:panose1 w:val="00000000000000000000"/>
    <w:charset w:val="00"/>
    <w:family w:val="roman"/>
    <w:pitch w:val="default"/>
    <w:sig w:usb0="00000000" w:usb1="00000000" w:usb2="00000000" w:usb3="00000000" w:csb0="00000000" w:csb1="00000000"/>
  </w:font>
  <w:font w:name="FtlnptAdvTTb5929f4c+20">
    <w:altName w:val="Times New Roman"/>
    <w:panose1 w:val="00000000000000000000"/>
    <w:charset w:val="00"/>
    <w:family w:val="roman"/>
    <w:pitch w:val="default"/>
    <w:sig w:usb0="00000000" w:usb1="00000000" w:usb2="00000000" w:usb3="00000000" w:csb0="00000000" w:csb1="00000000"/>
  </w:font>
  <w:font w:name="Calibri Light">
    <w:panose1 w:val="020F0302020204030204"/>
    <w:charset w:val="00"/>
    <w:family w:val="swiss"/>
    <w:pitch w:val="default"/>
    <w:sig w:usb0="E0002AFF" w:usb1="C000247B" w:usb2="00000009" w:usb3="00000000" w:csb0="200001FF" w:csb1="00000000"/>
  </w:font>
  <w:font w:name="等线">
    <w:altName w:val="SimSun"/>
    <w:panose1 w:val="00000000000000000000"/>
    <w:charset w:val="86"/>
    <w:family w:val="auto"/>
    <w:pitch w:val="default"/>
    <w:sig w:usb0="00000000" w:usb1="00000000" w:usb2="00000000" w:usb3="00000000" w:csb0="00000000" w:csb1="00000000"/>
  </w:font>
  <w:font w:name="等线">
    <w:altName w:val="Anonymous"/>
    <w:panose1 w:val="00000000000000000000"/>
    <w:charset w:val="00"/>
    <w:family w:val="auto"/>
    <w:pitch w:val="default"/>
    <w:sig w:usb0="00000000" w:usb1="00000000" w:usb2="00000000" w:usb3="00000000" w:csb0="00000000" w:csb1="00000000"/>
  </w:font>
  <w:font w:name="Anonymous">
    <w:panose1 w:val="02000409000000000000"/>
    <w:charset w:val="00"/>
    <w:family w:val="auto"/>
    <w:pitch w:val="default"/>
    <w:sig w:usb0="80000007" w:usb1="00000000" w:usb2="00000000" w:usb3="00000000" w:csb0="20000111" w:csb1="40000000"/>
  </w:font>
  <w:font w:name="MS PGothic">
    <w:panose1 w:val="020B0600070205080204"/>
    <w:charset w:val="80"/>
    <w:family w:val="auto"/>
    <w:pitch w:val="default"/>
    <w:sig w:usb0="E00002FF" w:usb1="6AC7FDFB" w:usb2="08000012" w:usb3="00000000" w:csb0="4002009F" w:csb1="DFD70000"/>
  </w:font>
  <w:font w:name="Lucida Sans Unicode">
    <w:panose1 w:val="020B0602030504020204"/>
    <w:charset w:val="00"/>
    <w:family w:val="auto"/>
    <w:pitch w:val="default"/>
    <w:sig w:usb0="80001AFF" w:usb1="0000396B" w:usb2="00000000" w:usb3="00000000" w:csb0="200000BF" w:csb1="D7F70000"/>
  </w:font>
  <w:font w:name="Arial Unicode MS">
    <w:panose1 w:val="020B0604020202020204"/>
    <w:charset w:val="86"/>
    <w:family w:val="auto"/>
    <w:pitch w:val="default"/>
    <w:sig w:usb0="FFFFFFFF" w:usb1="E9FFFFFF" w:usb2="0000003F" w:usb3="00000000" w:csb0="603F01FF" w:csb1="FFFF0000"/>
  </w:font>
  <w:font w:name="Microsoft YaHei">
    <w:panose1 w:val="020B0503020204020204"/>
    <w:charset w:val="86"/>
    <w:family w:val="auto"/>
    <w:pitch w:val="default"/>
    <w:sig w:usb0="80000287" w:usb1="28CF3C50" w:usb2="00000016" w:usb3="00000000" w:csb0="0004001F" w:csb1="00000000"/>
  </w:font>
  <w:font w:name="Microsoft JhengHei">
    <w:panose1 w:val="020B0604030504040204"/>
    <w:charset w:val="88"/>
    <w:family w:val="auto"/>
    <w:pitch w:val="default"/>
    <w:sig w:usb0="000002A7" w:usb1="28CF4400" w:usb2="00000016" w:usb3="00000000" w:csb0="00100009" w:csb1="00000000"/>
  </w:font>
  <w:font w:name="等线 Light">
    <w:altName w:val="Anonymous"/>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Trebuchet MS">
    <w:panose1 w:val="020B0603020202020204"/>
    <w:charset w:val="00"/>
    <w:family w:val="swiss"/>
    <w:pitch w:val="default"/>
    <w:sig w:usb0="00000687" w:usb1="00000000" w:usb2="00000000" w:usb3="00000000" w:csb0="2000009F" w:csb1="00000000"/>
  </w:font>
  <w:font w:name="Calibri">
    <w:panose1 w:val="020F0502020204030204"/>
    <w:charset w:val="00"/>
    <w:family w:val="auto"/>
    <w:pitch w:val="default"/>
    <w:sig w:usb0="E0002AFF" w:usb1="C000247B" w:usb2="00000009" w:usb3="00000000" w:csb0="200001FF" w:csb1="00000000"/>
  </w:font>
  <w:font w:name="Palatino">
    <w:altName w:val="SimSun"/>
    <w:panose1 w:val="00000000000000000000"/>
    <w:charset w:val="86"/>
    <w:family w:val="roman"/>
    <w:pitch w:val="default"/>
    <w:sig w:usb0="00000000" w:usb1="00000000" w:usb2="00000010" w:usb3="00000000" w:csb0="00040000" w:csb1="00000000"/>
  </w:font>
  <w:font w:name="TimesNewRoman">
    <w:altName w:val="Times New Roman"/>
    <w:panose1 w:val="00000000000000000000"/>
    <w:charset w:val="00"/>
    <w:family w:val="roman"/>
    <w:pitch w:val="default"/>
    <w:sig w:usb0="00000000" w:usb1="00000000" w:usb2="00000000" w:usb3="00000000" w:csb0="00000000" w:csb1="00000000"/>
  </w:font>
  <w:font w:name="Avenir-Medium">
    <w:altName w:val="Arial Unicode MS"/>
    <w:panose1 w:val="00000000000000000000"/>
    <w:charset w:val="86"/>
    <w:family w:val="swiss"/>
    <w:pitch w:val="default"/>
    <w:sig w:usb0="00000000" w:usb1="00000000" w:usb2="00000010" w:usb3="00000000" w:csb0="00040000" w:csb1="00000000"/>
  </w:font>
  <w:font w:name="Batang">
    <w:panose1 w:val="02030600000101010101"/>
    <w:charset w:val="81"/>
    <w:family w:val="roman"/>
    <w:pitch w:val="default"/>
    <w:sig w:usb0="B00002AF" w:usb1="69D77CFB" w:usb2="00000030" w:usb3="00000000" w:csb0="4008009F" w:csb1="DFD70000"/>
  </w:font>
  <w:font w:name="+mn-ea">
    <w:altName w:val="Anonymous"/>
    <w:panose1 w:val="00000000000000000000"/>
    <w:charset w:val="00"/>
    <w:family w:val="roman"/>
    <w:pitch w:val="default"/>
    <w:sig w:usb0="00000000" w:usb1="00000000" w:usb2="00000000" w:usb3="00000000" w:csb0="00000000" w:csb1="00000000"/>
  </w:font>
  <w:font w:name="Open Sans">
    <w:panose1 w:val="020B0606030504020204"/>
    <w:charset w:val="00"/>
    <w:family w:val="swiss"/>
    <w:pitch w:val="default"/>
    <w:sig w:usb0="E00002EF" w:usb1="4000205B" w:usb2="00000028" w:usb3="00000000" w:csb0="2000019F" w:csb1="00000000"/>
  </w:font>
  <w:font w:name="Minion Pro">
    <w:altName w:val="SimSun"/>
    <w:panose1 w:val="00000000000000000000"/>
    <w:charset w:val="86"/>
    <w:family w:val="roman"/>
    <w:pitch w:val="default"/>
    <w:sig w:usb0="00000000" w:usb1="00000000" w:usb2="00000010" w:usb3="00000000" w:csb0="00040000" w:csb1="00000000"/>
  </w:font>
  <w:font w:name="MyriadPro-Cond">
    <w:altName w:val="SimSun"/>
    <w:panose1 w:val="00000000000000000000"/>
    <w:charset w:val="86"/>
    <w:family w:val="auto"/>
    <w:pitch w:val="default"/>
    <w:sig w:usb0="00000000" w:usb1="00000000" w:usb2="00000010" w:usb3="00000000" w:csb0="00040000" w:csb1="00000000"/>
  </w:font>
  <w:font w:name="MyriadPro-Bold">
    <w:altName w:val="SimSun"/>
    <w:panose1 w:val="00000000000000000000"/>
    <w:charset w:val="86"/>
    <w:family w:val="auto"/>
    <w:pitch w:val="default"/>
    <w:sig w:usb0="00000000" w:usb1="00000000" w:usb2="00000010" w:usb3="00000000" w:csb0="00040000" w:csb1="00000000"/>
  </w:font>
  <w:font w:name="MyriadPro-Regular">
    <w:altName w:val="SimSun"/>
    <w:panose1 w:val="00000000000000000000"/>
    <w:charset w:val="86"/>
    <w:family w:val="auto"/>
    <w:pitch w:val="default"/>
    <w:sig w:usb0="00000000" w:usb1="00000000" w:usb2="00000010" w:usb3="00000000" w:csb0="00040000" w:csb1="00000000"/>
  </w:font>
  <w:font w:name="AdvP497E2">
    <w:altName w:val="SimSun"/>
    <w:panose1 w:val="00000000000000000000"/>
    <w:charset w:val="86"/>
    <w:family w:val="auto"/>
    <w:pitch w:val="default"/>
    <w:sig w:usb0="00000000" w:usb1="00000000" w:usb2="00000010" w:usb3="00000000" w:csb0="00040000" w:csb1="00000000"/>
  </w:font>
  <w:font w:name="Avenir-Heavy">
    <w:altName w:val="Microsoft YaHei"/>
    <w:panose1 w:val="00000000000000000000"/>
    <w:charset w:val="86"/>
    <w:family w:val="swiss"/>
    <w:pitch w:val="default"/>
    <w:sig w:usb0="00000000" w:usb1="00000000" w:usb2="00000010" w:usb3="00000000" w:csb0="00040000" w:csb1="00000000"/>
  </w:font>
  <w:font w:name="FranklinGothic-Book">
    <w:altName w:val="SimSun"/>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GB" w:eastAsia="en-GB"/>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2"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6192;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1EKh0&#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GB" w:eastAsia="en-GB"/>
      </w:rPr>
      <mc:AlternateContent>
        <mc:Choice Requires="wps">
          <w:drawing>
            <wp:anchor distT="0" distB="0" distL="114300" distR="114300" simplePos="0" relativeHeight="251664384"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12"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2096;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DTEulj4gEAALc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4DWCTaAAAA&#10;DQEAAA8AAAAAAAAAAQAgAAAAIgAAAGRycy9kb3ducmV2LnhtbFBLAQIUABQAAAAIAIdO4kDTEulj&#10;4gEAALcDAAAOAAAAAAAAAAEAIAAAACkBAABkcnMvZTJvRG9jLnhtbFBLBQYAAAAABgAGAFkBAAB9&#10;BQ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GB" w:eastAsia="en-GB"/>
      </w:rPr>
      <mc:AlternateContent>
        <mc:Choice Requires="wps">
          <w:drawing>
            <wp:anchor distT="0" distB="0" distL="114300" distR="114300" simplePos="0" relativeHeight="251668480"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13"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4800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C7IviLg&#10;AQAAtw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rPr>
        <w:lang w:val="en-GB" w:eastAsia="en-GB"/>
      </w:rPr>
      <mc:AlternateContent>
        <mc:Choice Requires="wps">
          <w:drawing>
            <wp:anchor distT="0" distB="0" distL="114300" distR="114300" simplePos="0" relativeHeight="251652096"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251664384;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GB" w:eastAsia="en-GB"/>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251660288;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DAJ3ceIBAAC2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DAJ3ceIB&#10;AAC2AwAADgAAAAAAAAABACAAAAAnAQAAZHJzL2Uyb0RvYy54bWxQSwUGAAAAAAYABgBZAQAAewUA&#10;AAAA&#10;">
              <v:fill on="f" focussize="0,0"/>
              <v:stroke on="f"/>
              <v:imagedata o:title=""/>
              <o:lock v:ext="edit" aspectratio="f"/>
              <v:textbox inset="0mm,0mm,0mm,0mm">
                <w:txbxContent>
                  <w:p>
                    <w:pPr>
                      <w:pStyle w:val="6"/>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abstractNum w:abstractNumId="1">
    <w:nsid w:val="59F6AF85"/>
    <w:multiLevelType w:val="multilevel"/>
    <w:tmpl w:val="59F6AF85"/>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51"/>
    <w:rsid w:val="000D0D49"/>
    <w:rsid w:val="000E2911"/>
    <w:rsid w:val="001263DF"/>
    <w:rsid w:val="00190F01"/>
    <w:rsid w:val="00404E5B"/>
    <w:rsid w:val="00414F7B"/>
    <w:rsid w:val="004355DC"/>
    <w:rsid w:val="004749B4"/>
    <w:rsid w:val="00492A52"/>
    <w:rsid w:val="004E6EF6"/>
    <w:rsid w:val="004F3523"/>
    <w:rsid w:val="005B3A56"/>
    <w:rsid w:val="006060CE"/>
    <w:rsid w:val="0063497F"/>
    <w:rsid w:val="007D7771"/>
    <w:rsid w:val="00873DF0"/>
    <w:rsid w:val="009B2D44"/>
    <w:rsid w:val="00A0419B"/>
    <w:rsid w:val="00A9710C"/>
    <w:rsid w:val="00AE3E37"/>
    <w:rsid w:val="00B11197"/>
    <w:rsid w:val="00B21A57"/>
    <w:rsid w:val="00B42AC2"/>
    <w:rsid w:val="00C1387F"/>
    <w:rsid w:val="00C33602"/>
    <w:rsid w:val="00CD6F55"/>
    <w:rsid w:val="00F72EEA"/>
    <w:rsid w:val="00F84CAE"/>
    <w:rsid w:val="00FD72D3"/>
    <w:rsid w:val="02E713B5"/>
    <w:rsid w:val="16544995"/>
    <w:rsid w:val="166F216D"/>
    <w:rsid w:val="191D1F8E"/>
    <w:rsid w:val="23DA1142"/>
    <w:rsid w:val="3B470CA1"/>
    <w:rsid w:val="4A567F60"/>
    <w:rsid w:val="4E966FF4"/>
    <w:rsid w:val="5CF35F97"/>
    <w:rsid w:val="62D43AD7"/>
    <w:rsid w:val="63C001B9"/>
    <w:rsid w:val="6E242FD5"/>
    <w:rsid w:val="6E3878F0"/>
    <w:rsid w:val="701D3EFE"/>
    <w:rsid w:val="76440AD5"/>
    <w:rsid w:val="76DA1141"/>
    <w:rsid w:val="7A057144"/>
    <w:rsid w:val="7EB55A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Balloon Text"/>
    <w:basedOn w:val="1"/>
    <w:link w:val="16"/>
    <w:unhideWhenUsed/>
    <w:qFormat/>
    <w:uiPriority w:val="99"/>
    <w:rPr>
      <w:rFonts w:ascii="Tahoma" w:hAnsi="Tahoma" w:cs="Tahoma"/>
      <w:sz w:val="16"/>
      <w:szCs w:val="16"/>
    </w:rPr>
  </w:style>
  <w:style w:type="paragraph" w:styleId="6">
    <w:name w:val="Body Text"/>
    <w:basedOn w:val="1"/>
    <w:qFormat/>
    <w:uiPriority w:val="1"/>
    <w:rPr>
      <w:sz w:val="18"/>
      <w:szCs w:val="18"/>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customStyle="1"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5"/>
    <w:semiHidden/>
    <w:uiPriority w:val="99"/>
    <w:rPr>
      <w:rFonts w:ascii="Tahoma" w:hAnsi="Tahoma" w:eastAsia="Tw Cen MT" w:cs="Tahoma"/>
      <w:sz w:val="16"/>
      <w:szCs w:val="16"/>
    </w:rPr>
  </w:style>
  <w:style w:type="paragraph" w:customStyle="1" w:styleId="17">
    <w:name w:val="No Spacing"/>
    <w:qFormat/>
    <w:uiPriority w:val="1"/>
    <w:pPr>
      <w:spacing w:after="0" w:line="240" w:lineRule="auto"/>
    </w:pPr>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592</Words>
  <Characters>3378</Characters>
  <Lines>28</Lines>
  <Paragraphs>7</Paragraphs>
  <ScaleCrop>false</ScaleCrop>
  <LinksUpToDate>false</LinksUpToDate>
  <CharactersWithSpaces>3963</CharactersWithSpaces>
  <Application>WPS Office_10.2.0.5965_F1E327BC-269C-435d-A152-05C5408002CA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2016-09-15T09:06:00Z</dcterms:created>
  <dc:creator>mehaboobi shaik</dc:creator>
  <cp:lastModifiedBy>AFETO</cp:lastModifiedBy>
  <dcterms:modified xsi:type="dcterms:W3CDTF">2017-10-30T04:46:28Z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