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E3E37">
      <w:pPr>
        <w:pStyle w:val="Corpsdetexte"/>
        <w:rPr>
          <w:rFonts w:ascii="Times New Roman"/>
          <w:sz w:val="20"/>
        </w:rPr>
      </w:pPr>
      <w:bookmarkStart w:id="0" w:name="_GoBack"/>
      <w:bookmarkEnd w:id="0"/>
    </w:p>
    <w:p w:rsidR="005F2777" w:rsidRDefault="005F2777">
      <w:pPr>
        <w:pStyle w:val="Corpsdetexte"/>
        <w:spacing w:before="73" w:line="198" w:lineRule="exact"/>
        <w:ind w:left="100" w:right="5967"/>
        <w:rPr>
          <w:rFonts w:ascii="Minion Pro" w:eastAsia="Minion Pro" w:hAnsi="Minion Pro" w:cs="Minion Pro"/>
          <w:b/>
          <w:bCs/>
          <w:color w:val="337AB7"/>
          <w:sz w:val="24"/>
          <w:szCs w:val="24"/>
        </w:rPr>
      </w:pPr>
      <w:r w:rsidRPr="005F2777">
        <w:rPr>
          <w:rFonts w:ascii="Minion Pro" w:eastAsia="Minion Pro" w:hAnsi="Minion Pro" w:cs="Minion Pro"/>
          <w:b/>
          <w:bCs/>
          <w:color w:val="337AB7"/>
          <w:sz w:val="24"/>
          <w:szCs w:val="24"/>
        </w:rPr>
        <w:t>Carbapenem-resistant Acinetobacter baumannii spread in Amiens University Hospital, France</w:t>
      </w:r>
    </w:p>
    <w:p w:rsidR="005F2777" w:rsidRPr="005F2777" w:rsidRDefault="005F2777" w:rsidP="005F2777">
      <w:pPr>
        <w:rPr>
          <w:rFonts w:ascii="Arial" w:hAnsi="Arial" w:cs="Arial"/>
          <w:sz w:val="18"/>
          <w:szCs w:val="18"/>
          <w:lang w:val="fr-FR"/>
        </w:rPr>
      </w:pPr>
      <w:r w:rsidRPr="005F2777">
        <w:rPr>
          <w:rFonts w:ascii="Arial" w:hAnsi="Arial" w:cs="Arial"/>
          <w:sz w:val="18"/>
          <w:szCs w:val="18"/>
          <w:lang w:val="fr-FR"/>
        </w:rPr>
        <w:t>Crespin C. Adjidé</w:t>
      </w:r>
      <w:r w:rsidRPr="005F2777">
        <w:rPr>
          <w:rFonts w:ascii="Arial" w:hAnsi="Arial" w:cs="Arial"/>
          <w:sz w:val="18"/>
          <w:szCs w:val="18"/>
          <w:vertAlign w:val="superscript"/>
          <w:lang w:val="fr-FR"/>
        </w:rPr>
        <w:t>1</w:t>
      </w:r>
      <w:r w:rsidRPr="005F2777">
        <w:rPr>
          <w:rFonts w:ascii="Arial" w:hAnsi="Arial" w:cs="Arial"/>
          <w:sz w:val="18"/>
          <w:szCs w:val="18"/>
          <w:lang w:val="fr-FR"/>
        </w:rPr>
        <w:t>, Odile Obin</w:t>
      </w:r>
      <w:r w:rsidRPr="005F2777">
        <w:rPr>
          <w:rFonts w:ascii="Arial" w:hAnsi="Arial" w:cs="Arial"/>
          <w:sz w:val="18"/>
          <w:szCs w:val="18"/>
          <w:vertAlign w:val="superscript"/>
          <w:lang w:val="fr-FR"/>
        </w:rPr>
        <w:t>1</w:t>
      </w:r>
      <w:r w:rsidRPr="005F2777">
        <w:rPr>
          <w:rFonts w:ascii="Arial" w:hAnsi="Arial" w:cs="Arial"/>
          <w:sz w:val="18"/>
          <w:szCs w:val="18"/>
          <w:lang w:val="fr-FR"/>
        </w:rPr>
        <w:t>, Gaëtan Outurquin</w:t>
      </w:r>
      <w:r w:rsidRPr="005F2777">
        <w:rPr>
          <w:rFonts w:ascii="Arial" w:hAnsi="Arial" w:cs="Arial"/>
          <w:sz w:val="18"/>
          <w:szCs w:val="18"/>
          <w:vertAlign w:val="superscript"/>
          <w:lang w:val="fr-FR"/>
        </w:rPr>
        <w:t>1</w:t>
      </w:r>
      <w:r w:rsidRPr="005F2777">
        <w:rPr>
          <w:rFonts w:ascii="Arial" w:hAnsi="Arial" w:cs="Arial"/>
          <w:sz w:val="18"/>
          <w:szCs w:val="18"/>
          <w:lang w:val="fr-FR"/>
        </w:rPr>
        <w:t>, Pascal Sonnet</w:t>
      </w:r>
      <w:r w:rsidRPr="005F2777">
        <w:rPr>
          <w:rFonts w:ascii="Arial" w:hAnsi="Arial" w:cs="Arial"/>
          <w:sz w:val="18"/>
          <w:szCs w:val="18"/>
          <w:vertAlign w:val="superscript"/>
          <w:lang w:val="fr-FR"/>
        </w:rPr>
        <w:t>2</w:t>
      </w:r>
      <w:r w:rsidRPr="005F2777">
        <w:rPr>
          <w:rFonts w:ascii="Arial" w:hAnsi="Arial" w:cs="Arial"/>
          <w:sz w:val="18"/>
          <w:szCs w:val="18"/>
          <w:lang w:val="fr-FR"/>
        </w:rPr>
        <w:t xml:space="preserve">, </w:t>
      </w:r>
      <w:r w:rsidRPr="00C11B66">
        <w:rPr>
          <w:rFonts w:ascii="Arial" w:hAnsi="Arial" w:cs="Arial"/>
          <w:b/>
          <w:sz w:val="18"/>
          <w:szCs w:val="18"/>
          <w:lang w:val="fr-FR"/>
        </w:rPr>
        <w:t>Catherine Mullié</w:t>
      </w:r>
      <w:r w:rsidRPr="005F2777">
        <w:rPr>
          <w:rFonts w:ascii="Arial" w:hAnsi="Arial" w:cs="Arial"/>
          <w:sz w:val="18"/>
          <w:szCs w:val="18"/>
          <w:vertAlign w:val="superscript"/>
          <w:lang w:val="fr-FR"/>
        </w:rPr>
        <w:t>1,2</w:t>
      </w:r>
    </w:p>
    <w:p w:rsidR="005F2777" w:rsidRPr="005F2777" w:rsidRDefault="005F2777" w:rsidP="005F2777">
      <w:pPr>
        <w:rPr>
          <w:rFonts w:ascii="Arial" w:hAnsi="Arial" w:cs="Arial"/>
          <w:sz w:val="18"/>
          <w:szCs w:val="18"/>
          <w:vertAlign w:val="superscript"/>
          <w:lang w:val="fr-FR"/>
        </w:rPr>
      </w:pPr>
    </w:p>
    <w:p w:rsidR="005F2777" w:rsidRPr="005F2777" w:rsidRDefault="005F2777" w:rsidP="005F2777">
      <w:pPr>
        <w:rPr>
          <w:rFonts w:ascii="Arial" w:hAnsi="Arial" w:cs="Arial"/>
          <w:sz w:val="18"/>
          <w:szCs w:val="18"/>
          <w:lang w:val="fr-FR"/>
        </w:rPr>
      </w:pPr>
      <w:r w:rsidRPr="005F2777">
        <w:rPr>
          <w:rFonts w:ascii="Arial" w:hAnsi="Arial" w:cs="Arial"/>
          <w:sz w:val="18"/>
          <w:szCs w:val="18"/>
          <w:vertAlign w:val="superscript"/>
          <w:lang w:val="fr-FR"/>
        </w:rPr>
        <w:t>1</w:t>
      </w:r>
      <w:r w:rsidRPr="005F2777">
        <w:rPr>
          <w:rFonts w:ascii="Arial" w:hAnsi="Arial" w:cs="Arial"/>
          <w:sz w:val="18"/>
          <w:szCs w:val="18"/>
          <w:lang w:val="fr-FR"/>
        </w:rPr>
        <w:t>: Laboratoire d’hygiène et d’épidémiologie hospitalière, CHU Amiens-Picardie, route de Conty, 80054 AMIENS Cedex, France</w:t>
      </w:r>
    </w:p>
    <w:p w:rsidR="005F2777" w:rsidRPr="005F2777" w:rsidRDefault="005F2777" w:rsidP="005F2777">
      <w:pPr>
        <w:rPr>
          <w:rFonts w:ascii="Arial" w:hAnsi="Arial" w:cs="Arial"/>
          <w:sz w:val="18"/>
          <w:szCs w:val="18"/>
          <w:lang w:val="fr-FR"/>
        </w:rPr>
      </w:pPr>
      <w:r w:rsidRPr="005F2777">
        <w:rPr>
          <w:rFonts w:ascii="Arial" w:hAnsi="Arial" w:cs="Arial"/>
          <w:sz w:val="18"/>
          <w:szCs w:val="18"/>
          <w:vertAlign w:val="superscript"/>
          <w:lang w:val="fr-FR"/>
        </w:rPr>
        <w:t>2</w:t>
      </w:r>
      <w:r w:rsidRPr="005F2777">
        <w:rPr>
          <w:rFonts w:ascii="Arial" w:hAnsi="Arial" w:cs="Arial"/>
          <w:sz w:val="18"/>
          <w:szCs w:val="18"/>
          <w:lang w:val="fr-FR"/>
        </w:rPr>
        <w:t>: Equipe AGIR (Agents Infectieux, Résistances et chimiothérapies), Université de Picardie Jules Verne - UFR de Pharmacie, 1 rue des Louvels, 80037 AMIENS Cedex 1, France</w:t>
      </w:r>
    </w:p>
    <w:p w:rsidR="00AE3E37" w:rsidRPr="005F2777" w:rsidRDefault="00AE3E37">
      <w:pPr>
        <w:pStyle w:val="Corpsdetexte"/>
        <w:rPr>
          <w:rFonts w:ascii="Arial"/>
          <w:sz w:val="20"/>
          <w:lang w:val="fr-FR"/>
        </w:rPr>
      </w:pPr>
    </w:p>
    <w:p w:rsidR="00AE3E37" w:rsidRPr="005F2777" w:rsidRDefault="00AE3E37">
      <w:pPr>
        <w:pStyle w:val="Corpsdetexte"/>
        <w:spacing w:before="3"/>
        <w:rPr>
          <w:rFonts w:ascii="Arial"/>
          <w:sz w:val="21"/>
          <w:lang w:val="fr-FR"/>
        </w:rPr>
      </w:pPr>
    </w:p>
    <w:p w:rsidR="00AE3E37" w:rsidRPr="005F2777" w:rsidRDefault="00AE3E37">
      <w:pPr>
        <w:rPr>
          <w:rFonts w:ascii="Arial"/>
          <w:sz w:val="21"/>
          <w:lang w:val="fr-FR"/>
        </w:rPr>
        <w:sectPr w:rsidR="00AE3E37" w:rsidRPr="005F277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5F2777">
        <w:rPr>
          <w:color w:val="BF5A14"/>
        </w:rPr>
        <w:t xml:space="preserve"> </w:t>
      </w:r>
      <w:r w:rsidR="00404E5B" w:rsidRPr="005F2777">
        <w:rPr>
          <w:color w:val="BF5A14"/>
        </w:rPr>
        <w:t>(300 word limit)</w:t>
      </w:r>
    </w:p>
    <w:p w:rsidR="005F2777" w:rsidRPr="005F2777" w:rsidRDefault="005F2777" w:rsidP="005F2777">
      <w:pPr>
        <w:jc w:val="both"/>
        <w:rPr>
          <w:sz w:val="18"/>
          <w:szCs w:val="18"/>
          <w:lang w:val="en-GB"/>
        </w:rPr>
      </w:pPr>
      <w:r w:rsidRPr="005F2777">
        <w:rPr>
          <w:sz w:val="18"/>
          <w:szCs w:val="18"/>
          <w:lang w:val="en-GB"/>
        </w:rPr>
        <w:t xml:space="preserve">Hospital-acquired infections with multi-drug resistant (MDR) bacteria, a common occurrence in this environmental setting, are a well-established public health concern. In Amiens University Hospital, as a preventive action to reduce the patient-to-patient and patient-staff transmissions, a systematic screening has been set up in at-risk units such as intensive care units to identify carriers of MDR bacteria. Carbapenem-resistant </w:t>
      </w:r>
      <w:r w:rsidRPr="005F2777">
        <w:rPr>
          <w:i/>
          <w:sz w:val="18"/>
          <w:szCs w:val="18"/>
          <w:lang w:val="en-GB"/>
        </w:rPr>
        <w:t>Acinetobacter baumannii</w:t>
      </w:r>
      <w:r w:rsidRPr="005F2777">
        <w:rPr>
          <w:sz w:val="18"/>
          <w:szCs w:val="18"/>
          <w:lang w:val="en-GB"/>
        </w:rPr>
        <w:t xml:space="preserve"> (CRAB) is one of those MDR bacteria. This specific category of bacteria has even been put on top of the WHO list of so-called superbugs for which there is an urgent need to find alternative treatments</w:t>
      </w:r>
      <w:r w:rsidRPr="005F2777">
        <w:rPr>
          <w:sz w:val="18"/>
          <w:szCs w:val="18"/>
          <w:vertAlign w:val="superscript"/>
          <w:lang w:val="en-GB"/>
        </w:rPr>
        <w:t>1</w:t>
      </w:r>
      <w:r w:rsidRPr="005F2777">
        <w:rPr>
          <w:sz w:val="18"/>
          <w:szCs w:val="18"/>
          <w:lang w:val="en-GB"/>
        </w:rPr>
        <w:t>.</w:t>
      </w:r>
    </w:p>
    <w:p w:rsidR="005F2777" w:rsidRPr="005F2777" w:rsidRDefault="005F2777" w:rsidP="005F2777">
      <w:pPr>
        <w:jc w:val="both"/>
        <w:rPr>
          <w:sz w:val="18"/>
          <w:szCs w:val="18"/>
          <w:lang w:val="en-GB"/>
        </w:rPr>
      </w:pPr>
      <w:r w:rsidRPr="005F2777">
        <w:rPr>
          <w:sz w:val="18"/>
          <w:szCs w:val="18"/>
          <w:lang w:val="en-GB"/>
        </w:rPr>
        <w:t xml:space="preserve">Over the past two years, an increase in the number of CRAB carriers and infected patients has been witnessed with 21 (15 carriers + 6 infected) and 38 (23 carriers + 15 infected) patients identified in 2016 and 2017, respectively. CRAB carriages/infections peaked in the summer of each of these two years with small clusters developing in intensive care units and the digestive surgery unit in 2016 and in dermatology and one of the intensive care units in 2017. The genotypic characterisation of the antibiotic resistance for these strains showed that they all carried the OXA-23 carbapenemase and AmpC </w:t>
      </w:r>
      <w:r w:rsidRPr="005F2777">
        <w:rPr>
          <w:rFonts w:ascii="Times New Roman" w:hAnsi="Times New Roman" w:cs="Times New Roman"/>
          <w:sz w:val="18"/>
          <w:szCs w:val="18"/>
          <w:lang w:val="en-GB"/>
        </w:rPr>
        <w:t>β</w:t>
      </w:r>
      <w:r w:rsidRPr="005F2777">
        <w:rPr>
          <w:sz w:val="18"/>
          <w:szCs w:val="18"/>
          <w:lang w:val="en-GB"/>
        </w:rPr>
        <w:t xml:space="preserve">-lactamase. Most of them also harboured the 16S rRNA ArmA methylase and some the TEM (5 strains) or the RTG2 (1 strain) </w:t>
      </w:r>
      <w:r w:rsidRPr="005F2777">
        <w:rPr>
          <w:rFonts w:ascii="Times New Roman" w:hAnsi="Times New Roman" w:cs="Times New Roman"/>
          <w:sz w:val="18"/>
          <w:szCs w:val="18"/>
          <w:lang w:val="en-GB"/>
        </w:rPr>
        <w:t>β</w:t>
      </w:r>
      <w:r w:rsidRPr="005F2777">
        <w:rPr>
          <w:sz w:val="18"/>
          <w:szCs w:val="18"/>
          <w:lang w:val="en-GB"/>
        </w:rPr>
        <w:t>-lactamase. However, they all remained susceptible to colistin.</w:t>
      </w:r>
      <w:r>
        <w:rPr>
          <w:sz w:val="18"/>
          <w:szCs w:val="18"/>
          <w:lang w:val="en-GB"/>
        </w:rPr>
        <w:t xml:space="preserve"> </w:t>
      </w:r>
      <w:r w:rsidRPr="005F2777">
        <w:rPr>
          <w:sz w:val="18"/>
          <w:szCs w:val="18"/>
          <w:lang w:val="en-GB"/>
        </w:rPr>
        <w:t>In addition to the data generated by the epidemiological investigations led in the clinical units to search for a common source, the phylogenetic analysis (Rep-PCR/ERIC PCR, MLST sequencing</w:t>
      </w:r>
      <w:r w:rsidRPr="005F2777">
        <w:rPr>
          <w:sz w:val="18"/>
          <w:szCs w:val="18"/>
          <w:vertAlign w:val="superscript"/>
          <w:lang w:val="en-GB"/>
        </w:rPr>
        <w:t>2-3</w:t>
      </w:r>
      <w:r w:rsidRPr="005F2777">
        <w:rPr>
          <w:sz w:val="18"/>
          <w:szCs w:val="18"/>
          <w:lang w:val="en-GB"/>
        </w:rPr>
        <w:t>) of the isolated strains will help in defining whether this outbreak is linked with the spread of one or several clones of CRAB and in adapting hygienic recommendations accordingly.</w:t>
      </w:r>
    </w:p>
    <w:p w:rsidR="00AE3E37" w:rsidRDefault="00A9710C" w:rsidP="003836AA">
      <w:pPr>
        <w:pStyle w:val="Titre3"/>
        <w:spacing w:before="74"/>
        <w:rPr>
          <w:b w:val="0"/>
        </w:rPr>
      </w:pPr>
      <w:r>
        <w:rPr>
          <w:b w:val="0"/>
        </w:rPr>
        <w:br w:type="column"/>
      </w:r>
      <w:r w:rsidR="00414F7B" w:rsidRPr="005F2777">
        <w:rPr>
          <w:color w:val="BF5A14"/>
        </w:rPr>
        <w:lastRenderedPageBreak/>
        <w:t>Recent publi</w:t>
      </w:r>
      <w:r w:rsidR="00C33602" w:rsidRPr="005F2777">
        <w:rPr>
          <w:color w:val="BF5A14"/>
        </w:rPr>
        <w:t>cations</w:t>
      </w:r>
      <w:r w:rsidR="00C33602">
        <w:rPr>
          <w:color w:val="BF5A14"/>
        </w:rPr>
        <w:t xml:space="preserve"> (minimum 5)</w:t>
      </w:r>
    </w:p>
    <w:p w:rsidR="00BB0B76" w:rsidRPr="003836AA" w:rsidRDefault="003836AA" w:rsidP="00BB0B76">
      <w:pPr>
        <w:pStyle w:val="Paragraphedeliste"/>
        <w:numPr>
          <w:ilvl w:val="0"/>
          <w:numId w:val="3"/>
        </w:numPr>
        <w:rPr>
          <w:sz w:val="18"/>
          <w:szCs w:val="18"/>
          <w:lang w:val="en-GB"/>
        </w:rPr>
      </w:pPr>
      <w:r w:rsidRPr="003836AA">
        <w:rPr>
          <w:sz w:val="18"/>
          <w:szCs w:val="18"/>
          <w:lang w:val="en-GB"/>
        </w:rPr>
        <w:t>WHO (2017)</w:t>
      </w:r>
      <w:r w:rsidR="00BB0B76" w:rsidRPr="003836AA">
        <w:rPr>
          <w:sz w:val="18"/>
          <w:szCs w:val="18"/>
          <w:lang w:val="en-GB"/>
        </w:rPr>
        <w:t xml:space="preserve"> Global priority list of antibiotic-resistant bacteria to guide research, discovery, and development of new antibiotics. 27 February 2017.</w:t>
      </w:r>
    </w:p>
    <w:p w:rsidR="00BB0B76" w:rsidRPr="003836AA" w:rsidRDefault="00BB0B76" w:rsidP="00BB0B76">
      <w:pPr>
        <w:pStyle w:val="Paragraphedeliste"/>
        <w:numPr>
          <w:ilvl w:val="0"/>
          <w:numId w:val="3"/>
        </w:numPr>
        <w:rPr>
          <w:sz w:val="18"/>
          <w:szCs w:val="18"/>
          <w:lang w:val="en-GB"/>
        </w:rPr>
      </w:pPr>
      <w:r w:rsidRPr="003836AA">
        <w:rPr>
          <w:sz w:val="18"/>
          <w:szCs w:val="18"/>
          <w:lang w:val="en-GB"/>
        </w:rPr>
        <w:t>Neves FC, Clemente WT, Lincopan N, Paião ID, Neves PR, Romanelli RM, Lima SS, Paiva LF, Mourão PH, Nobre-Junior VA</w:t>
      </w:r>
      <w:r w:rsidR="003836AA" w:rsidRPr="003836AA">
        <w:rPr>
          <w:sz w:val="18"/>
          <w:szCs w:val="18"/>
          <w:lang w:val="en-GB"/>
        </w:rPr>
        <w:t xml:space="preserve"> (2016)</w:t>
      </w:r>
      <w:r w:rsidRPr="003836AA">
        <w:rPr>
          <w:sz w:val="18"/>
          <w:szCs w:val="18"/>
          <w:lang w:val="en-GB"/>
        </w:rPr>
        <w:t xml:space="preserve"> Clinical and microbiological characteristics of OXA-23- and OXA-143-producing Acinetobacter baumannii in ICU patients at a teaching hospital, Brazil. </w:t>
      </w:r>
      <w:r w:rsidR="003836AA" w:rsidRPr="003836AA">
        <w:rPr>
          <w:sz w:val="18"/>
          <w:szCs w:val="18"/>
          <w:lang w:val="en-GB"/>
        </w:rPr>
        <w:t xml:space="preserve">Braz J Infect Dis. </w:t>
      </w:r>
      <w:r w:rsidRPr="003836AA">
        <w:rPr>
          <w:sz w:val="18"/>
          <w:szCs w:val="18"/>
          <w:lang w:val="en-GB"/>
        </w:rPr>
        <w:t>20(6):556-563.</w:t>
      </w:r>
    </w:p>
    <w:p w:rsidR="00BB0B76" w:rsidRPr="003836AA" w:rsidRDefault="00BB0B76" w:rsidP="00BB0B76">
      <w:pPr>
        <w:pStyle w:val="Paragraphedeliste"/>
        <w:numPr>
          <w:ilvl w:val="0"/>
          <w:numId w:val="3"/>
        </w:numPr>
        <w:rPr>
          <w:sz w:val="18"/>
          <w:szCs w:val="18"/>
          <w:lang w:val="en-GB"/>
        </w:rPr>
      </w:pPr>
      <w:r w:rsidRPr="003836AA">
        <w:rPr>
          <w:sz w:val="18"/>
          <w:szCs w:val="18"/>
        </w:rPr>
        <w:t>Pasanen T</w:t>
      </w:r>
      <w:r w:rsidR="003836AA" w:rsidRPr="003836AA">
        <w:rPr>
          <w:sz w:val="18"/>
          <w:szCs w:val="18"/>
        </w:rPr>
        <w:t>, Koskela S</w:t>
      </w:r>
      <w:r w:rsidRPr="003836AA">
        <w:rPr>
          <w:sz w:val="18"/>
          <w:szCs w:val="18"/>
        </w:rPr>
        <w:t>,</w:t>
      </w:r>
      <w:r w:rsidR="003836AA" w:rsidRPr="003836AA">
        <w:rPr>
          <w:sz w:val="18"/>
          <w:szCs w:val="18"/>
        </w:rPr>
        <w:t xml:space="preserve"> Mero S, Tarkka E, Tissari P, Vaara M, Kirveskari J (2014)</w:t>
      </w:r>
      <w:r w:rsidRPr="003836AA">
        <w:rPr>
          <w:sz w:val="18"/>
          <w:szCs w:val="18"/>
        </w:rPr>
        <w:t xml:space="preserve"> </w:t>
      </w:r>
      <w:r w:rsidRPr="003836AA">
        <w:rPr>
          <w:sz w:val="18"/>
          <w:szCs w:val="18"/>
          <w:lang w:val="en-GB"/>
        </w:rPr>
        <w:t xml:space="preserve">Rapid molecular characterization of </w:t>
      </w:r>
      <w:r w:rsidRPr="003836AA">
        <w:rPr>
          <w:i/>
          <w:sz w:val="18"/>
          <w:szCs w:val="18"/>
          <w:lang w:val="en-GB"/>
        </w:rPr>
        <w:t>Acinetobacter baumannii</w:t>
      </w:r>
      <w:r w:rsidRPr="003836AA">
        <w:rPr>
          <w:sz w:val="18"/>
          <w:szCs w:val="18"/>
          <w:lang w:val="en-GB"/>
        </w:rPr>
        <w:t xml:space="preserve"> clones with rep-PCR and evaluation of carbapenemase genes by new multiplex PCR in Hospital District of Helsinki and Uusimaa.</w:t>
      </w:r>
      <w:r w:rsidR="003836AA" w:rsidRPr="003836AA">
        <w:rPr>
          <w:sz w:val="18"/>
          <w:szCs w:val="18"/>
          <w:lang w:val="en-GB"/>
        </w:rPr>
        <w:t xml:space="preserve"> </w:t>
      </w:r>
      <w:r w:rsidRPr="003836AA">
        <w:rPr>
          <w:sz w:val="18"/>
          <w:szCs w:val="18"/>
          <w:lang w:val="en-GB"/>
        </w:rPr>
        <w:t xml:space="preserve">PLoS One </w:t>
      </w:r>
      <w:r w:rsidR="003836AA" w:rsidRPr="003836AA">
        <w:rPr>
          <w:sz w:val="18"/>
          <w:szCs w:val="18"/>
          <w:lang w:val="en-GB"/>
        </w:rPr>
        <w:t>9(1):e85854.</w:t>
      </w:r>
    </w:p>
    <w:p w:rsidR="00BB0B76" w:rsidRPr="003836AA" w:rsidRDefault="003836AA" w:rsidP="00BB0B76">
      <w:pPr>
        <w:pStyle w:val="Paragraphedeliste"/>
        <w:numPr>
          <w:ilvl w:val="0"/>
          <w:numId w:val="3"/>
        </w:numPr>
        <w:rPr>
          <w:sz w:val="18"/>
          <w:szCs w:val="18"/>
        </w:rPr>
      </w:pPr>
      <w:r w:rsidRPr="003836AA">
        <w:rPr>
          <w:sz w:val="18"/>
          <w:szCs w:val="18"/>
          <w:lang w:val="en-GB"/>
        </w:rPr>
        <w:t xml:space="preserve">Chen CH, Kuo HY, Hsu PJ, Chang CM, Chen JY, Lu HH, Chen HY, Liou ML (2017) Clonal spread of carbapenem-resistant </w:t>
      </w:r>
      <w:r w:rsidRPr="003836AA">
        <w:rPr>
          <w:i/>
          <w:sz w:val="18"/>
          <w:szCs w:val="18"/>
          <w:lang w:val="en-GB"/>
        </w:rPr>
        <w:t>Acinetobacter baumannii</w:t>
      </w:r>
      <w:r w:rsidRPr="003836AA">
        <w:rPr>
          <w:sz w:val="18"/>
          <w:szCs w:val="18"/>
          <w:lang w:val="en-GB"/>
        </w:rPr>
        <w:t xml:space="preserve"> across a community hospital and its affiliated long-term care facilities: A cross sectional study. J Microbiol Immunol Infect. pii: S1684-1182(17)30153-6. </w:t>
      </w:r>
    </w:p>
    <w:p w:rsidR="00AE3E37" w:rsidRPr="003836AA" w:rsidRDefault="00BB0B76" w:rsidP="00BB0B76">
      <w:pPr>
        <w:pStyle w:val="Paragraphedeliste"/>
        <w:numPr>
          <w:ilvl w:val="0"/>
          <w:numId w:val="3"/>
        </w:numPr>
        <w:rPr>
          <w:sz w:val="18"/>
          <w:szCs w:val="18"/>
          <w:lang w:val="en-GB"/>
        </w:rPr>
      </w:pPr>
      <w:r w:rsidRPr="003836AA">
        <w:rPr>
          <w:sz w:val="18"/>
          <w:szCs w:val="18"/>
        </w:rPr>
        <w:t>Diancourt L, Passet V, Nemec A, Dijksh</w:t>
      </w:r>
      <w:r w:rsidR="003836AA" w:rsidRPr="003836AA">
        <w:rPr>
          <w:sz w:val="18"/>
          <w:szCs w:val="18"/>
        </w:rPr>
        <w:t>oorn L, Brisse S (2010)</w:t>
      </w:r>
      <w:r w:rsidRPr="003836AA">
        <w:rPr>
          <w:sz w:val="18"/>
          <w:szCs w:val="18"/>
        </w:rPr>
        <w:t xml:space="preserve"> </w:t>
      </w:r>
      <w:r w:rsidRPr="003836AA">
        <w:rPr>
          <w:sz w:val="18"/>
          <w:szCs w:val="18"/>
          <w:lang w:val="en-GB"/>
        </w:rPr>
        <w:t xml:space="preserve">The population structure of </w:t>
      </w:r>
      <w:r w:rsidRPr="003836AA">
        <w:rPr>
          <w:i/>
          <w:sz w:val="18"/>
          <w:szCs w:val="18"/>
          <w:lang w:val="en-GB"/>
        </w:rPr>
        <w:t>Acinetobacter baumannii</w:t>
      </w:r>
      <w:r w:rsidRPr="003836AA">
        <w:rPr>
          <w:sz w:val="18"/>
          <w:szCs w:val="18"/>
          <w:lang w:val="en-GB"/>
        </w:rPr>
        <w:t xml:space="preserve">: expanding multiresistant clones from an ancestral susceptible genetic pool. </w:t>
      </w:r>
      <w:r w:rsidR="003836AA" w:rsidRPr="003836AA">
        <w:rPr>
          <w:sz w:val="18"/>
          <w:szCs w:val="18"/>
        </w:rPr>
        <w:t>PLoS One</w:t>
      </w:r>
      <w:r w:rsidRPr="003836AA">
        <w:rPr>
          <w:sz w:val="18"/>
          <w:szCs w:val="18"/>
        </w:rPr>
        <w:t xml:space="preserve"> 5(4):e10034.</w:t>
      </w:r>
    </w:p>
    <w:p w:rsidR="00BB0B76" w:rsidRDefault="00BB0B76" w:rsidP="00BB0B76">
      <w:pPr>
        <w:pStyle w:val="Paragraphedeliste"/>
        <w:ind w:left="720" w:firstLine="0"/>
      </w:pPr>
    </w:p>
    <w:p w:rsidR="00BB0B76" w:rsidRDefault="00BB0B76" w:rsidP="00BB0B76">
      <w:pPr>
        <w:pStyle w:val="Paragraphedeliste"/>
        <w:ind w:left="720" w:firstLine="0"/>
      </w:pPr>
    </w:p>
    <w:p w:rsidR="00BB0B76" w:rsidRPr="00BB0B76" w:rsidRDefault="00BB0B76" w:rsidP="00BB0B76">
      <w:pPr>
        <w:pStyle w:val="Paragraphedeliste"/>
        <w:ind w:left="720" w:firstLine="0"/>
        <w:rPr>
          <w:lang w:val="en-GB"/>
        </w:rPr>
        <w:sectPr w:rsidR="00BB0B76" w:rsidRPr="00BB0B76">
          <w:type w:val="continuous"/>
          <w:pgSz w:w="11910" w:h="16840"/>
          <w:pgMar w:top="1740"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AE3E37">
      <w:pPr>
        <w:pStyle w:val="Corpsdetexte"/>
        <w:spacing w:before="5" w:after="1"/>
        <w:rPr>
          <w:rFonts w:ascii="Calibri"/>
          <w:sz w:val="29"/>
        </w:rPr>
      </w:pPr>
    </w:p>
    <w:p w:rsidR="00AE3E37" w:rsidRDefault="007C7380">
      <w:pPr>
        <w:pStyle w:val="Corpsdetexte"/>
        <w:spacing w:line="40" w:lineRule="exact"/>
        <w:ind w:left="2202"/>
        <w:rPr>
          <w:rFonts w:ascii="Calibri"/>
          <w:sz w:val="4"/>
        </w:rPr>
      </w:pPr>
      <w:r w:rsidRPr="007C7380">
        <w:rPr>
          <w:rFonts w:ascii="Calibri"/>
          <w:noProof/>
          <w:sz w:val="4"/>
          <w:lang w:val="en-IN" w:eastAsia="en-IN"/>
        </w:rPr>
      </w:r>
      <w:r w:rsidRPr="007C7380">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A9710C" w:rsidP="007869EC">
      <w:pPr>
        <w:spacing w:before="92"/>
        <w:ind w:right="4234" w:firstLine="213"/>
        <w:rPr>
          <w:rFonts w:ascii="Arial"/>
        </w:rPr>
      </w:pPr>
      <w:r w:rsidRPr="003836AA">
        <w:rPr>
          <w:rFonts w:ascii="Arial"/>
          <w:color w:val="BF5A14"/>
        </w:rPr>
        <w:t>Biography</w:t>
      </w:r>
      <w:r w:rsidR="00404E5B" w:rsidRPr="003836AA">
        <w:rPr>
          <w:rFonts w:ascii="Arial"/>
          <w:color w:val="BF5A14"/>
        </w:rPr>
        <w:t xml:space="preserve"> (150 word limit)</w:t>
      </w:r>
    </w:p>
    <w:p w:rsidR="007869EC" w:rsidRDefault="007869EC">
      <w:pPr>
        <w:spacing w:before="41" w:line="154" w:lineRule="exact"/>
        <w:ind w:left="213" w:right="231"/>
        <w:jc w:val="both"/>
        <w:rPr>
          <w:rFonts w:ascii="Arial" w:hAnsi="Arial" w:cs="Arial"/>
          <w:sz w:val="14"/>
          <w:szCs w:val="14"/>
        </w:rPr>
      </w:pPr>
      <w:r w:rsidRPr="007869EC">
        <w:rPr>
          <w:rFonts w:ascii="Arial" w:hAnsi="Arial" w:cs="Arial"/>
          <w:sz w:val="14"/>
          <w:szCs w:val="14"/>
        </w:rPr>
        <w:t xml:space="preserve">Catherine Mullié obtained a PhD in Microbiology and a PharmD at the University of Lille, France, in 1999. After a post-doc year at the Faculté de Medicine in Amiens (Laboratoire d’Immunologie, INSERM-EMI 0351), she was appointed as assistant professor at the Faculté de Pharmacie in Amiens in 2000 and joined the LG-2A (Laboratoire de Glycochimie des Antimicrobiens et des Agroressources, UMR 7378 CNRS) in 2008. She has been a member of the French Society for Microbiology since 2000. Her research is focused on the development of new antimicrobial and antimalarial drugs, with a special interest in efflux-mediated antibiotic resistance in </w:t>
      </w:r>
      <w:r w:rsidRPr="007869EC">
        <w:rPr>
          <w:rFonts w:ascii="Arial" w:hAnsi="Arial" w:cs="Arial"/>
          <w:i/>
          <w:sz w:val="14"/>
          <w:szCs w:val="14"/>
        </w:rPr>
        <w:t>Pseudomonas aeruginosa</w:t>
      </w:r>
      <w:r w:rsidRPr="007869EC">
        <w:rPr>
          <w:rFonts w:ascii="Arial" w:hAnsi="Arial" w:cs="Arial"/>
          <w:sz w:val="14"/>
          <w:szCs w:val="14"/>
        </w:rPr>
        <w:t xml:space="preserve"> and </w:t>
      </w:r>
      <w:r w:rsidRPr="007869EC">
        <w:rPr>
          <w:rFonts w:ascii="Arial" w:hAnsi="Arial" w:cs="Arial"/>
          <w:i/>
          <w:sz w:val="14"/>
          <w:szCs w:val="14"/>
        </w:rPr>
        <w:t xml:space="preserve">Acinetobacter baumannii. </w:t>
      </w:r>
      <w:r w:rsidRPr="007869EC">
        <w:rPr>
          <w:rFonts w:ascii="Arial" w:hAnsi="Arial" w:cs="Arial"/>
          <w:sz w:val="14"/>
          <w:szCs w:val="14"/>
        </w:rPr>
        <w:t>She currently heads the French part of a bilateral project funded by France and Algeria (Partenariat Hubert Curien Tassili) on this topic</w:t>
      </w:r>
      <w:r>
        <w:rPr>
          <w:rFonts w:ascii="Arial" w:hAnsi="Arial" w:cs="Arial"/>
          <w:sz w:val="14"/>
          <w:szCs w:val="14"/>
        </w:rPr>
        <w:t>.</w:t>
      </w:r>
    </w:p>
    <w:p w:rsidR="00AE3E37" w:rsidRDefault="00A9710C">
      <w:pPr>
        <w:spacing w:before="62"/>
        <w:ind w:left="4217" w:right="4235"/>
        <w:jc w:val="center"/>
        <w:rPr>
          <w:rFonts w:ascii="Arial"/>
          <w:sz w:val="14"/>
        </w:rPr>
      </w:pPr>
      <w:r>
        <w:rPr>
          <w:rFonts w:ascii="Arial"/>
          <w:sz w:val="14"/>
        </w:rPr>
        <w:t xml:space="preserve">Email: </w:t>
      </w:r>
      <w:hyperlink r:id="rId9" w:history="1">
        <w:r w:rsidR="007869EC" w:rsidRPr="00E30A9C">
          <w:rPr>
            <w:rStyle w:val="Lienhypertexte"/>
            <w:rFonts w:ascii="Arial"/>
            <w:sz w:val="14"/>
          </w:rPr>
          <w:t>catherine.mullie@u-picardie.fr</w:t>
        </w:r>
      </w:hyperlink>
    </w:p>
    <w:p w:rsidR="00AE3E37" w:rsidRDefault="007C7380">
      <w:pPr>
        <w:pStyle w:val="Corpsdetexte"/>
        <w:spacing w:before="2"/>
        <w:rPr>
          <w:rFonts w:ascii="Arial"/>
          <w:sz w:val="19"/>
        </w:rPr>
      </w:pPr>
      <w:r w:rsidRPr="007C7380">
        <w:rPr>
          <w:noProof/>
          <w:lang w:val="en-IN" w:eastAsia="en-IN"/>
        </w:rPr>
        <w:lastRenderedPageBreak/>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Corpsdetexte"/>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7242" w:rsidRDefault="00667242">
      <w:r>
        <w:separator/>
      </w:r>
    </w:p>
  </w:endnote>
  <w:endnote w:type="continuationSeparator" w:id="1">
    <w:p w:rsidR="00667242" w:rsidRDefault="006672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C7380">
    <w:pPr>
      <w:pStyle w:val="Corpsdetexte"/>
      <w:spacing w:line="14" w:lineRule="auto"/>
      <w:rPr>
        <w:sz w:val="20"/>
      </w:rPr>
    </w:pPr>
    <w:r w:rsidRPr="007C7380">
      <w:rPr>
        <w:noProof/>
        <w:lang w:val="en-IN" w:eastAsia="en-IN"/>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7242" w:rsidRDefault="00667242">
      <w:r>
        <w:separator/>
      </w:r>
    </w:p>
  </w:footnote>
  <w:footnote w:type="continuationSeparator" w:id="1">
    <w:p w:rsidR="00667242" w:rsidRDefault="006672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C7380">
    <w:pPr>
      <w:pStyle w:val="Corpsdetexte"/>
      <w:spacing w:line="14" w:lineRule="auto"/>
      <w:rPr>
        <w:sz w:val="20"/>
      </w:rPr>
    </w:pPr>
    <w:r w:rsidRPr="007C7380">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8B4DB1"/>
    <w:multiLevelType w:val="hybridMultilevel"/>
    <w:tmpl w:val="FD60FD00"/>
    <w:lvl w:ilvl="0" w:tplc="FF307F16">
      <w:start w:val="1"/>
      <w:numFmt w:val="decimal"/>
      <w:lvlText w:val="%1."/>
      <w:lvlJc w:val="left"/>
      <w:pPr>
        <w:ind w:left="720" w:hanging="360"/>
      </w:pPr>
      <w:rPr>
        <w:rFonts w:hint="default"/>
        <w:sz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37AA1"/>
    <w:rsid w:val="000C4051"/>
    <w:rsid w:val="000D0D49"/>
    <w:rsid w:val="000E2911"/>
    <w:rsid w:val="001263DF"/>
    <w:rsid w:val="00190F01"/>
    <w:rsid w:val="003836AA"/>
    <w:rsid w:val="00404E5B"/>
    <w:rsid w:val="00414F7B"/>
    <w:rsid w:val="00423755"/>
    <w:rsid w:val="004355DC"/>
    <w:rsid w:val="004749B4"/>
    <w:rsid w:val="00492A52"/>
    <w:rsid w:val="004E0ABF"/>
    <w:rsid w:val="004E6EF6"/>
    <w:rsid w:val="004F3523"/>
    <w:rsid w:val="005B3A56"/>
    <w:rsid w:val="005F2777"/>
    <w:rsid w:val="006060CE"/>
    <w:rsid w:val="0063497F"/>
    <w:rsid w:val="00667242"/>
    <w:rsid w:val="007869EC"/>
    <w:rsid w:val="007C7380"/>
    <w:rsid w:val="007D7771"/>
    <w:rsid w:val="00873DF0"/>
    <w:rsid w:val="009B2D44"/>
    <w:rsid w:val="00A0419B"/>
    <w:rsid w:val="00A737FA"/>
    <w:rsid w:val="00A9710C"/>
    <w:rsid w:val="00AE3E37"/>
    <w:rsid w:val="00B11197"/>
    <w:rsid w:val="00B21A57"/>
    <w:rsid w:val="00B42AC2"/>
    <w:rsid w:val="00BB0B76"/>
    <w:rsid w:val="00C11B66"/>
    <w:rsid w:val="00C1387F"/>
    <w:rsid w:val="00C33602"/>
    <w:rsid w:val="00CD6F55"/>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3836AA"/>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atherine.mullie@u-picardi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710</Words>
  <Characters>3906</Characters>
  <Application>Microsoft Office Word</Application>
  <DocSecurity>0</DocSecurity>
  <Lines>32</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Catherine Demailly</cp:lastModifiedBy>
  <cp:revision>3</cp:revision>
  <dcterms:created xsi:type="dcterms:W3CDTF">2017-10-12T17:32:00Z</dcterms:created>
  <dcterms:modified xsi:type="dcterms:W3CDTF">2017-10-12T17:32:00Z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