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CF2" w:rsidRDefault="00E0574D" w:rsidP="00BF7CF2">
      <w:pPr>
        <w:jc w:val="both"/>
        <w:rPr>
          <w:rFonts w:cstheme="minorHAnsi"/>
          <w:b/>
          <w:sz w:val="28"/>
          <w:szCs w:val="28"/>
        </w:rPr>
      </w:pPr>
      <w:r w:rsidRPr="00C02B03">
        <w:rPr>
          <w:rFonts w:cstheme="minorHAnsi"/>
          <w:b/>
          <w:i/>
          <w:sz w:val="28"/>
          <w:szCs w:val="28"/>
        </w:rPr>
        <w:t>Fasciola hepatica</w:t>
      </w:r>
      <w:r w:rsidRPr="00C02B03">
        <w:rPr>
          <w:rFonts w:cstheme="minorHAnsi"/>
          <w:b/>
          <w:sz w:val="28"/>
          <w:szCs w:val="28"/>
        </w:rPr>
        <w:t xml:space="preserve"> tegumental antigens induce</w:t>
      </w:r>
      <w:r w:rsidR="00BF7CF2">
        <w:rPr>
          <w:rFonts w:cstheme="minorHAnsi"/>
          <w:b/>
          <w:sz w:val="28"/>
          <w:szCs w:val="28"/>
        </w:rPr>
        <w:t xml:space="preserve"> anergy in</w:t>
      </w:r>
      <w:r w:rsidR="006F388B">
        <w:rPr>
          <w:rFonts w:cstheme="minorHAnsi"/>
          <w:b/>
          <w:sz w:val="28"/>
          <w:szCs w:val="28"/>
        </w:rPr>
        <w:t xml:space="preserve"> CD4</w:t>
      </w:r>
      <w:r w:rsidR="006F388B" w:rsidRPr="006F388B">
        <w:rPr>
          <w:rFonts w:cstheme="minorHAnsi"/>
          <w:b/>
          <w:sz w:val="28"/>
          <w:szCs w:val="28"/>
          <w:vertAlign w:val="superscript"/>
        </w:rPr>
        <w:t>+</w:t>
      </w:r>
      <w:r w:rsidR="006F388B">
        <w:rPr>
          <w:rFonts w:cstheme="minorHAnsi"/>
          <w:b/>
          <w:sz w:val="28"/>
          <w:szCs w:val="28"/>
        </w:rPr>
        <w:t xml:space="preserve"> T cell</w:t>
      </w:r>
      <w:r w:rsidR="00BF7CF2">
        <w:rPr>
          <w:rFonts w:cstheme="minorHAnsi"/>
          <w:b/>
          <w:sz w:val="28"/>
          <w:szCs w:val="28"/>
        </w:rPr>
        <w:t>s</w:t>
      </w:r>
    </w:p>
    <w:p w:rsidR="00E0574D" w:rsidRPr="00BF7CF2" w:rsidRDefault="00E0574D" w:rsidP="00BF7CF2">
      <w:pPr>
        <w:jc w:val="both"/>
        <w:rPr>
          <w:rFonts w:cstheme="minorHAnsi"/>
          <w:b/>
          <w:sz w:val="28"/>
          <w:szCs w:val="28"/>
        </w:rPr>
      </w:pPr>
      <w:r w:rsidRPr="00C02B03">
        <w:rPr>
          <w:rFonts w:cstheme="minorHAnsi"/>
          <w:sz w:val="20"/>
          <w:szCs w:val="28"/>
        </w:rPr>
        <w:t xml:space="preserve">Allison Aldridge, </w:t>
      </w:r>
      <w:r w:rsidRPr="00316AF0">
        <w:rPr>
          <w:rFonts w:cstheme="minorHAnsi"/>
          <w:sz w:val="20"/>
          <w:szCs w:val="28"/>
          <w:u w:val="single"/>
        </w:rPr>
        <w:t xml:space="preserve">Arlene </w:t>
      </w:r>
      <w:r w:rsidR="008D6440">
        <w:rPr>
          <w:rFonts w:cstheme="minorHAnsi"/>
          <w:sz w:val="20"/>
          <w:szCs w:val="28"/>
          <w:u w:val="single"/>
        </w:rPr>
        <w:t xml:space="preserve">M. A. </w:t>
      </w:r>
      <w:r w:rsidRPr="00316AF0">
        <w:rPr>
          <w:rFonts w:cstheme="minorHAnsi"/>
          <w:sz w:val="20"/>
          <w:szCs w:val="28"/>
          <w:u w:val="single"/>
        </w:rPr>
        <w:t>Glasgow</w:t>
      </w:r>
      <w:r w:rsidRPr="00C02B03">
        <w:rPr>
          <w:rFonts w:cstheme="minorHAnsi"/>
          <w:sz w:val="20"/>
          <w:szCs w:val="28"/>
        </w:rPr>
        <w:t>,</w:t>
      </w:r>
      <w:r w:rsidR="00571256">
        <w:rPr>
          <w:rFonts w:cstheme="minorHAnsi"/>
          <w:sz w:val="20"/>
          <w:szCs w:val="28"/>
        </w:rPr>
        <w:t xml:space="preserve"> Anna Murphy, Richard Lalor,</w:t>
      </w:r>
      <w:r w:rsidRPr="00C02B03">
        <w:rPr>
          <w:rFonts w:cstheme="minorHAnsi"/>
          <w:sz w:val="20"/>
          <w:szCs w:val="28"/>
        </w:rPr>
        <w:t xml:space="preserve"> Sandra M. O’Neill</w:t>
      </w:r>
    </w:p>
    <w:p w:rsidR="00E0574D" w:rsidRPr="00C02B03" w:rsidRDefault="00623F18" w:rsidP="00E0574D">
      <w:pPr>
        <w:rPr>
          <w:rFonts w:cstheme="minorHAnsi"/>
          <w:sz w:val="20"/>
          <w:szCs w:val="28"/>
        </w:rPr>
      </w:pPr>
      <w:r>
        <w:rPr>
          <w:rFonts w:cstheme="minorHAnsi"/>
          <w:sz w:val="20"/>
          <w:szCs w:val="28"/>
        </w:rPr>
        <w:t xml:space="preserve">Fundamental and Translational Immunology Group, </w:t>
      </w:r>
      <w:r w:rsidR="00E0574D" w:rsidRPr="00C02B03">
        <w:rPr>
          <w:rFonts w:cstheme="minorHAnsi"/>
          <w:sz w:val="20"/>
          <w:szCs w:val="28"/>
        </w:rPr>
        <w:t>School of Biotechnology, Faculty of Science and Health, Dublin City University, Ireland</w:t>
      </w:r>
    </w:p>
    <w:p w:rsidR="006914BA" w:rsidRPr="0058602A" w:rsidRDefault="009E566F">
      <w:pPr>
        <w:jc w:val="both"/>
        <w:rPr>
          <w:rFonts w:cstheme="minorHAnsi"/>
          <w:color w:val="000000"/>
          <w:szCs w:val="20"/>
          <w:shd w:val="clear" w:color="auto" w:fill="FFFFFF"/>
        </w:rPr>
      </w:pPr>
      <w:r>
        <w:rPr>
          <w:rFonts w:cstheme="minorHAnsi"/>
          <w:color w:val="000000"/>
          <w:szCs w:val="20"/>
          <w:shd w:val="clear" w:color="auto" w:fill="FFFFFF"/>
        </w:rPr>
        <w:t xml:space="preserve">Helminths are parasitic worms which infect and survive within their host for many years due to their ability to </w:t>
      </w:r>
      <w:r w:rsidR="005D2743">
        <w:rPr>
          <w:rFonts w:cstheme="minorHAnsi"/>
          <w:color w:val="000000"/>
          <w:szCs w:val="20"/>
          <w:shd w:val="clear" w:color="auto" w:fill="FFFFFF"/>
        </w:rPr>
        <w:t>modulate</w:t>
      </w:r>
      <w:r>
        <w:rPr>
          <w:rFonts w:cstheme="minorHAnsi"/>
          <w:color w:val="000000"/>
          <w:szCs w:val="20"/>
          <w:shd w:val="clear" w:color="auto" w:fill="FFFFFF"/>
        </w:rPr>
        <w:t xml:space="preserve"> host immunity via a range of mechanisms. The two types of regulatory T cell</w:t>
      </w:r>
      <w:r w:rsidR="00767E58">
        <w:rPr>
          <w:rFonts w:cstheme="minorHAnsi"/>
          <w:color w:val="000000"/>
          <w:szCs w:val="20"/>
          <w:shd w:val="clear" w:color="auto" w:fill="FFFFFF"/>
        </w:rPr>
        <w:t>s</w:t>
      </w:r>
      <w:r>
        <w:rPr>
          <w:rFonts w:cstheme="minorHAnsi"/>
          <w:color w:val="000000"/>
          <w:szCs w:val="20"/>
          <w:shd w:val="clear" w:color="auto" w:fill="FFFFFF"/>
        </w:rPr>
        <w:t xml:space="preserve"> associated with helminth infection are FoxP3</w:t>
      </w:r>
      <w:r w:rsidRPr="00D827F6">
        <w:rPr>
          <w:rFonts w:cstheme="minorHAnsi"/>
          <w:color w:val="000000"/>
          <w:szCs w:val="20"/>
          <w:shd w:val="clear" w:color="auto" w:fill="FFFFFF"/>
          <w:vertAlign w:val="superscript"/>
        </w:rPr>
        <w:t>+</w:t>
      </w:r>
      <w:r w:rsidRPr="00C02B03">
        <w:rPr>
          <w:rFonts w:cstheme="minorHAnsi"/>
          <w:color w:val="000000"/>
          <w:szCs w:val="20"/>
          <w:shd w:val="clear" w:color="auto" w:fill="FFFFFF"/>
        </w:rPr>
        <w:t xml:space="preserve"> Treg cells and anergic T cells</w:t>
      </w:r>
      <w:r w:rsidR="00407002">
        <w:rPr>
          <w:rFonts w:cstheme="minorHAnsi"/>
          <w:color w:val="000000"/>
          <w:szCs w:val="20"/>
          <w:shd w:val="clear" w:color="auto" w:fill="FFFFFF"/>
        </w:rPr>
        <w:t xml:space="preserve">. In this study, we examined the </w:t>
      </w:r>
      <w:r w:rsidR="008B6CA4">
        <w:rPr>
          <w:lang w:val="en-IE"/>
        </w:rPr>
        <w:t>CD4</w:t>
      </w:r>
      <w:r w:rsidR="008B6CA4" w:rsidRPr="00B8250C">
        <w:rPr>
          <w:vertAlign w:val="superscript"/>
          <w:lang w:val="en-IE"/>
        </w:rPr>
        <w:t>+</w:t>
      </w:r>
      <w:r w:rsidR="006B1128">
        <w:rPr>
          <w:vertAlign w:val="superscript"/>
          <w:lang w:val="en-IE"/>
        </w:rPr>
        <w:t xml:space="preserve"> </w:t>
      </w:r>
      <w:r w:rsidR="00407002">
        <w:rPr>
          <w:rFonts w:cstheme="minorHAnsi"/>
          <w:color w:val="000000"/>
          <w:szCs w:val="20"/>
          <w:shd w:val="clear" w:color="auto" w:fill="FFFFFF"/>
        </w:rPr>
        <w:t xml:space="preserve">T cell responses in mice during infection with </w:t>
      </w:r>
      <w:r w:rsidR="0016489F">
        <w:rPr>
          <w:i/>
          <w:lang w:val="en-IE"/>
        </w:rPr>
        <w:t>Fasciola hepatica</w:t>
      </w:r>
      <w:r>
        <w:rPr>
          <w:lang w:val="en-IE"/>
        </w:rPr>
        <w:t>.</w:t>
      </w:r>
      <w:r w:rsidR="00407002">
        <w:rPr>
          <w:lang w:val="en-IE"/>
        </w:rPr>
        <w:t xml:space="preserve"> </w:t>
      </w:r>
      <w:r w:rsidR="00B63500">
        <w:rPr>
          <w:lang w:val="en-IE"/>
        </w:rPr>
        <w:t xml:space="preserve">Splenocytes from infected mice were re-stimulated </w:t>
      </w:r>
      <w:r w:rsidR="00B63500" w:rsidRPr="00CC6C1A">
        <w:rPr>
          <w:i/>
          <w:lang w:val="en-IE"/>
        </w:rPr>
        <w:t>in vitro</w:t>
      </w:r>
      <w:r w:rsidR="00B63500">
        <w:rPr>
          <w:lang w:val="en-IE"/>
        </w:rPr>
        <w:t xml:space="preserve"> with </w:t>
      </w:r>
      <w:r w:rsidR="00B63500" w:rsidRPr="00CC6C1A">
        <w:rPr>
          <w:i/>
          <w:lang w:val="en-IE"/>
        </w:rPr>
        <w:t>F. hepatica</w:t>
      </w:r>
      <w:r w:rsidR="00B63500">
        <w:rPr>
          <w:lang w:val="en-IE"/>
        </w:rPr>
        <w:t xml:space="preserve"> tegumental coat antigens (FhTeg) and showed a lack of cytokine responses and reduced prolife</w:t>
      </w:r>
      <w:r w:rsidR="00B63500">
        <w:rPr>
          <w:lang w:val="en-IE"/>
        </w:rPr>
        <w:t>ration,</w:t>
      </w:r>
      <w:r w:rsidR="00B63500">
        <w:rPr>
          <w:lang w:val="en-IE"/>
        </w:rPr>
        <w:t xml:space="preserve"> reversible by the addition of IL-2 to the cultures and therefore indicative of an anergic phenotype. </w:t>
      </w:r>
      <w:r w:rsidR="004D358F">
        <w:rPr>
          <w:lang w:val="en-IE"/>
        </w:rPr>
        <w:t xml:space="preserve">Splenocytes from infected mice showed enhanced expression of the anergy-related genes </w:t>
      </w:r>
      <w:r w:rsidR="004D358F" w:rsidRPr="00DC0772">
        <w:rPr>
          <w:i/>
          <w:lang w:val="en-IE"/>
        </w:rPr>
        <w:t>Rnf128</w:t>
      </w:r>
      <w:r w:rsidR="004D358F">
        <w:rPr>
          <w:lang w:val="en-IE"/>
        </w:rPr>
        <w:t xml:space="preserve">, </w:t>
      </w:r>
      <w:r w:rsidR="004D358F" w:rsidRPr="00DC0772">
        <w:rPr>
          <w:i/>
          <w:lang w:val="en-IE"/>
        </w:rPr>
        <w:t>Egr2</w:t>
      </w:r>
      <w:r w:rsidR="004D358F">
        <w:rPr>
          <w:lang w:val="en-IE"/>
        </w:rPr>
        <w:t xml:space="preserve">, </w:t>
      </w:r>
      <w:r w:rsidR="004D358F" w:rsidRPr="00DC0772">
        <w:rPr>
          <w:i/>
          <w:lang w:val="en-IE"/>
        </w:rPr>
        <w:t>Itch</w:t>
      </w:r>
      <w:r w:rsidR="004D358F">
        <w:rPr>
          <w:lang w:val="en-IE"/>
        </w:rPr>
        <w:t xml:space="preserve"> and </w:t>
      </w:r>
      <w:r w:rsidR="004D358F" w:rsidRPr="00DC0772">
        <w:rPr>
          <w:i/>
          <w:lang w:val="en-IE"/>
        </w:rPr>
        <w:t>Icos</w:t>
      </w:r>
      <w:r w:rsidR="004D358F">
        <w:rPr>
          <w:lang w:val="en-IE"/>
        </w:rPr>
        <w:t xml:space="preserve">, </w:t>
      </w:r>
      <w:r w:rsidR="004D358F">
        <w:rPr>
          <w:lang w:val="en-IE"/>
        </w:rPr>
        <w:t>and there was</w:t>
      </w:r>
      <w:r w:rsidR="004D358F">
        <w:rPr>
          <w:lang w:val="en-IE"/>
        </w:rPr>
        <w:t xml:space="preserve"> upregulation of the surface markers PD1 and CTLA4 on CD4</w:t>
      </w:r>
      <w:r w:rsidR="004D358F" w:rsidRPr="00B63500">
        <w:rPr>
          <w:vertAlign w:val="superscript"/>
          <w:lang w:val="en-IE"/>
        </w:rPr>
        <w:t>+</w:t>
      </w:r>
      <w:r w:rsidR="004D358F">
        <w:rPr>
          <w:lang w:val="en-IE"/>
        </w:rPr>
        <w:t xml:space="preserve"> T cells. </w:t>
      </w:r>
      <w:r w:rsidR="00B63500">
        <w:rPr>
          <w:lang w:val="en-IE"/>
        </w:rPr>
        <w:t>The injection of mice with FhTeg mimicked</w:t>
      </w:r>
      <w:r w:rsidR="00FC37F6">
        <w:rPr>
          <w:lang w:val="en-IE"/>
        </w:rPr>
        <w:t xml:space="preserve"> the induction of</w:t>
      </w:r>
      <w:r w:rsidR="00B63500">
        <w:rPr>
          <w:lang w:val="en-IE"/>
        </w:rPr>
        <w:t xml:space="preserve"> these anergic-like CD4</w:t>
      </w:r>
      <w:r w:rsidR="00B63500" w:rsidRPr="00A77A69">
        <w:rPr>
          <w:vertAlign w:val="superscript"/>
          <w:lang w:val="en-IE"/>
        </w:rPr>
        <w:t>+</w:t>
      </w:r>
      <w:r w:rsidR="00B63500">
        <w:rPr>
          <w:lang w:val="en-IE"/>
        </w:rPr>
        <w:t xml:space="preserve"> T cell </w:t>
      </w:r>
      <w:r w:rsidR="004D358F">
        <w:rPr>
          <w:lang w:val="en-IE"/>
        </w:rPr>
        <w:t>properties observed in</w:t>
      </w:r>
      <w:r w:rsidR="00767E58">
        <w:rPr>
          <w:lang w:val="en-IE"/>
        </w:rPr>
        <w:t xml:space="preserve"> live</w:t>
      </w:r>
      <w:r w:rsidR="00B63500">
        <w:rPr>
          <w:lang w:val="en-IE"/>
        </w:rPr>
        <w:t xml:space="preserve"> infection.</w:t>
      </w:r>
      <w:r w:rsidR="004D358F">
        <w:rPr>
          <w:lang w:val="en-IE"/>
        </w:rPr>
        <w:t xml:space="preserve"> </w:t>
      </w:r>
      <w:r w:rsidR="002171D2" w:rsidRPr="002171D2">
        <w:rPr>
          <w:i/>
          <w:lang w:val="en-IE"/>
        </w:rPr>
        <w:t>In vitro</w:t>
      </w:r>
      <w:r w:rsidR="002171D2">
        <w:rPr>
          <w:lang w:val="en-IE"/>
        </w:rPr>
        <w:t xml:space="preserve">, </w:t>
      </w:r>
      <w:r w:rsidR="004D358F">
        <w:rPr>
          <w:lang w:val="en-IE"/>
        </w:rPr>
        <w:t>FhTeg-activated dendritic cells (DCs)</w:t>
      </w:r>
      <w:r w:rsidR="002171D2">
        <w:rPr>
          <w:lang w:val="en-IE"/>
        </w:rPr>
        <w:t xml:space="preserve"> co-cultured</w:t>
      </w:r>
      <w:r w:rsidR="009871D4">
        <w:rPr>
          <w:lang w:val="en-IE"/>
        </w:rPr>
        <w:t xml:space="preserve"> with </w:t>
      </w:r>
      <w:r w:rsidR="009871D4">
        <w:rPr>
          <w:lang w:val="en-IE"/>
        </w:rPr>
        <w:t>CD4</w:t>
      </w:r>
      <w:r w:rsidR="009871D4" w:rsidRPr="00A77A69">
        <w:rPr>
          <w:vertAlign w:val="superscript"/>
          <w:lang w:val="en-IE"/>
        </w:rPr>
        <w:t>+</w:t>
      </w:r>
      <w:r w:rsidR="009871D4">
        <w:rPr>
          <w:lang w:val="en-IE"/>
        </w:rPr>
        <w:t xml:space="preserve"> T cell</w:t>
      </w:r>
      <w:r w:rsidR="009871D4">
        <w:rPr>
          <w:lang w:val="en-IE"/>
        </w:rPr>
        <w:t xml:space="preserve">s suppressed T cell cytokine production and upregulated expression of anergy genes </w:t>
      </w:r>
      <w:r w:rsidR="009871D4" w:rsidRPr="009871D4">
        <w:rPr>
          <w:i/>
          <w:lang w:val="en-IE"/>
        </w:rPr>
        <w:t>Rnf128</w:t>
      </w:r>
      <w:r w:rsidR="009871D4">
        <w:rPr>
          <w:lang w:val="en-IE"/>
        </w:rPr>
        <w:t xml:space="preserve">, </w:t>
      </w:r>
      <w:r w:rsidR="009871D4" w:rsidRPr="009871D4">
        <w:rPr>
          <w:i/>
          <w:lang w:val="en-IE"/>
        </w:rPr>
        <w:t>Ctla4</w:t>
      </w:r>
      <w:r w:rsidR="009871D4">
        <w:rPr>
          <w:lang w:val="en-IE"/>
        </w:rPr>
        <w:t xml:space="preserve"> and </w:t>
      </w:r>
      <w:r w:rsidR="009871D4" w:rsidRPr="009871D4">
        <w:rPr>
          <w:i/>
          <w:lang w:val="en-IE"/>
        </w:rPr>
        <w:t>Icos</w:t>
      </w:r>
      <w:r w:rsidR="009871D4">
        <w:rPr>
          <w:lang w:val="en-IE"/>
        </w:rPr>
        <w:t xml:space="preserve">, as well as </w:t>
      </w:r>
      <w:r w:rsidR="006E320E">
        <w:rPr>
          <w:lang w:val="en-IE"/>
        </w:rPr>
        <w:t xml:space="preserve">the </w:t>
      </w:r>
      <w:r w:rsidR="009871D4">
        <w:rPr>
          <w:lang w:val="en-IE"/>
        </w:rPr>
        <w:t>surface</w:t>
      </w:r>
      <w:r w:rsidR="006E320E">
        <w:rPr>
          <w:lang w:val="en-IE"/>
        </w:rPr>
        <w:t xml:space="preserve"> marker</w:t>
      </w:r>
      <w:r w:rsidR="009871D4">
        <w:rPr>
          <w:lang w:val="en-IE"/>
        </w:rPr>
        <w:t xml:space="preserve"> PD1.</w:t>
      </w:r>
      <w:r w:rsidR="00FC5997">
        <w:rPr>
          <w:lang w:val="en-IE"/>
        </w:rPr>
        <w:t xml:space="preserve"> </w:t>
      </w:r>
      <w:r w:rsidR="00576FCA">
        <w:rPr>
          <w:lang w:val="en-IE"/>
        </w:rPr>
        <w:t>FhTeg executes this</w:t>
      </w:r>
      <w:r w:rsidR="00A77A69">
        <w:rPr>
          <w:lang w:val="en-IE"/>
        </w:rPr>
        <w:t xml:space="preserve"> </w:t>
      </w:r>
      <w:r w:rsidR="00A77A69" w:rsidRPr="00A77A69">
        <w:rPr>
          <w:i/>
          <w:lang w:val="en-IE"/>
        </w:rPr>
        <w:t>in vitro</w:t>
      </w:r>
      <w:r w:rsidR="00576FCA">
        <w:rPr>
          <w:lang w:val="en-IE"/>
        </w:rPr>
        <w:t xml:space="preserve"> induction of anergic properties via the mannose receptor</w:t>
      </w:r>
      <w:r w:rsidR="001010D8">
        <w:rPr>
          <w:lang w:val="en-IE"/>
        </w:rPr>
        <w:t xml:space="preserve"> (MR)</w:t>
      </w:r>
      <w:r w:rsidR="00576FCA">
        <w:rPr>
          <w:lang w:val="en-IE"/>
        </w:rPr>
        <w:t xml:space="preserve"> on the surface of DCs, as evidenced by the blocking of anergy induction using </w:t>
      </w:r>
      <w:r w:rsidR="001010D8">
        <w:rPr>
          <w:lang w:val="en-IE"/>
        </w:rPr>
        <w:t xml:space="preserve">sugars that bind MR, and further confirmed by the inability of DCs from MR-knockout mice to induce anergy in </w:t>
      </w:r>
      <w:r w:rsidR="001010D8">
        <w:rPr>
          <w:lang w:val="en-IE"/>
        </w:rPr>
        <w:t>CD4</w:t>
      </w:r>
      <w:r w:rsidR="001010D8" w:rsidRPr="00A77A69">
        <w:rPr>
          <w:vertAlign w:val="superscript"/>
          <w:lang w:val="en-IE"/>
        </w:rPr>
        <w:t>+</w:t>
      </w:r>
      <w:r w:rsidR="001010D8">
        <w:rPr>
          <w:lang w:val="en-IE"/>
        </w:rPr>
        <w:t xml:space="preserve"> T cell</w:t>
      </w:r>
      <w:r w:rsidR="001010D8">
        <w:rPr>
          <w:lang w:val="en-IE"/>
        </w:rPr>
        <w:t>s.</w:t>
      </w:r>
      <w:r w:rsidR="00A474B3">
        <w:rPr>
          <w:lang w:val="en-IE"/>
        </w:rPr>
        <w:t xml:space="preserve"> Finally</w:t>
      </w:r>
      <w:r w:rsidR="0028734C">
        <w:rPr>
          <w:lang w:val="en-IE"/>
        </w:rPr>
        <w:t>,</w:t>
      </w:r>
      <w:r w:rsidR="00FD6228">
        <w:rPr>
          <w:lang w:val="en-IE"/>
        </w:rPr>
        <w:t xml:space="preserve"> </w:t>
      </w:r>
      <w:r w:rsidR="006B1128">
        <w:rPr>
          <w:lang w:val="en-IE"/>
        </w:rPr>
        <w:t xml:space="preserve">we show that </w:t>
      </w:r>
      <w:r w:rsidR="00A474B3">
        <w:rPr>
          <w:lang w:val="en-IE"/>
        </w:rPr>
        <w:t xml:space="preserve">FhTeg is </w:t>
      </w:r>
      <w:r w:rsidR="006B1128">
        <w:rPr>
          <w:lang w:val="en-IE"/>
        </w:rPr>
        <w:t xml:space="preserve">also </w:t>
      </w:r>
      <w:r w:rsidR="0028734C">
        <w:rPr>
          <w:lang w:val="en-IE"/>
        </w:rPr>
        <w:t>able to</w:t>
      </w:r>
      <w:r w:rsidR="0053031D">
        <w:rPr>
          <w:lang w:val="en-IE"/>
        </w:rPr>
        <w:t xml:space="preserve"> directly</w:t>
      </w:r>
      <w:r w:rsidR="0028734C">
        <w:rPr>
          <w:lang w:val="en-IE"/>
        </w:rPr>
        <w:t xml:space="preserve"> induce an anergic phenotype</w:t>
      </w:r>
      <w:r w:rsidR="00A474B3">
        <w:rPr>
          <w:lang w:val="en-IE"/>
        </w:rPr>
        <w:t xml:space="preserve"> in</w:t>
      </w:r>
      <w:r w:rsidR="00A474B3" w:rsidRPr="00A474B3">
        <w:rPr>
          <w:lang w:val="en-IE"/>
        </w:rPr>
        <w:t xml:space="preserve"> </w:t>
      </w:r>
      <w:r w:rsidR="00A474B3">
        <w:rPr>
          <w:lang w:val="en-IE"/>
        </w:rPr>
        <w:t>CD4</w:t>
      </w:r>
      <w:r w:rsidR="00A474B3" w:rsidRPr="00A77A69">
        <w:rPr>
          <w:vertAlign w:val="superscript"/>
          <w:lang w:val="en-IE"/>
        </w:rPr>
        <w:t>+</w:t>
      </w:r>
      <w:r w:rsidR="00A474B3">
        <w:rPr>
          <w:lang w:val="en-IE"/>
        </w:rPr>
        <w:t xml:space="preserve"> T cell</w:t>
      </w:r>
      <w:r w:rsidR="00A474B3">
        <w:rPr>
          <w:lang w:val="en-IE"/>
        </w:rPr>
        <w:t>s without the need for an antigen presenting cell</w:t>
      </w:r>
      <w:r w:rsidR="00BE284F">
        <w:rPr>
          <w:lang w:val="en-IE"/>
        </w:rPr>
        <w:t xml:space="preserve"> and this warrants further investigation. </w:t>
      </w:r>
      <w:r w:rsidR="005D2743">
        <w:rPr>
          <w:lang w:val="en-IE"/>
        </w:rPr>
        <w:t>In conclusion,</w:t>
      </w:r>
      <w:r w:rsidR="006914BA">
        <w:rPr>
          <w:lang w:val="en-IE"/>
        </w:rPr>
        <w:t xml:space="preserve"> the induction of anergic CD4</w:t>
      </w:r>
      <w:r w:rsidR="006914BA" w:rsidRPr="008102CA">
        <w:rPr>
          <w:vertAlign w:val="superscript"/>
          <w:lang w:val="en-IE"/>
        </w:rPr>
        <w:t>+</w:t>
      </w:r>
      <w:r w:rsidR="006B1128">
        <w:rPr>
          <w:lang w:val="en-IE"/>
        </w:rPr>
        <w:t xml:space="preserve"> T cells </w:t>
      </w:r>
      <w:r w:rsidR="006914BA">
        <w:rPr>
          <w:lang w:val="en-IE"/>
        </w:rPr>
        <w:t xml:space="preserve">by surface antigens from </w:t>
      </w:r>
      <w:r w:rsidR="006914BA" w:rsidRPr="008102CA">
        <w:rPr>
          <w:i/>
          <w:lang w:val="en-IE"/>
        </w:rPr>
        <w:t>F. hepatica</w:t>
      </w:r>
      <w:r w:rsidR="006914BA">
        <w:rPr>
          <w:lang w:val="en-IE"/>
        </w:rPr>
        <w:t xml:space="preserve"> constitutes a novel mechanism contributing to the overall immunosuppre</w:t>
      </w:r>
      <w:r w:rsidR="007B7C4A">
        <w:rPr>
          <w:lang w:val="en-IE"/>
        </w:rPr>
        <w:t>ssive effects of this parasite an</w:t>
      </w:r>
      <w:r w:rsidR="0052695F">
        <w:rPr>
          <w:lang w:val="en-IE"/>
        </w:rPr>
        <w:t>d may have implications</w:t>
      </w:r>
      <w:bookmarkStart w:id="0" w:name="_GoBack"/>
      <w:bookmarkEnd w:id="0"/>
      <w:r w:rsidR="007B7C4A">
        <w:rPr>
          <w:lang w:val="en-IE"/>
        </w:rPr>
        <w:t xml:space="preserve"> for future vaccine development.</w:t>
      </w:r>
    </w:p>
    <w:sectPr w:rsidR="006914BA" w:rsidRPr="005860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53C"/>
    <w:rsid w:val="00064E9B"/>
    <w:rsid w:val="001010D8"/>
    <w:rsid w:val="00107D5F"/>
    <w:rsid w:val="00133938"/>
    <w:rsid w:val="001426CE"/>
    <w:rsid w:val="001428FC"/>
    <w:rsid w:val="0016489F"/>
    <w:rsid w:val="001F496A"/>
    <w:rsid w:val="002171D2"/>
    <w:rsid w:val="00270CD2"/>
    <w:rsid w:val="0028734C"/>
    <w:rsid w:val="003007E3"/>
    <w:rsid w:val="003C736E"/>
    <w:rsid w:val="003F06F8"/>
    <w:rsid w:val="00407002"/>
    <w:rsid w:val="004D358F"/>
    <w:rsid w:val="00515CEF"/>
    <w:rsid w:val="0052695F"/>
    <w:rsid w:val="0052722A"/>
    <w:rsid w:val="0053031D"/>
    <w:rsid w:val="005446D9"/>
    <w:rsid w:val="00547F08"/>
    <w:rsid w:val="00571256"/>
    <w:rsid w:val="00576FCA"/>
    <w:rsid w:val="0058602A"/>
    <w:rsid w:val="005D2743"/>
    <w:rsid w:val="005F405C"/>
    <w:rsid w:val="00623F18"/>
    <w:rsid w:val="006358FE"/>
    <w:rsid w:val="006914BA"/>
    <w:rsid w:val="006B1128"/>
    <w:rsid w:val="006C1B32"/>
    <w:rsid w:val="006E320E"/>
    <w:rsid w:val="006E5B7B"/>
    <w:rsid w:val="006F388B"/>
    <w:rsid w:val="006F4788"/>
    <w:rsid w:val="0075420E"/>
    <w:rsid w:val="00767E58"/>
    <w:rsid w:val="007B7C4A"/>
    <w:rsid w:val="007E3C60"/>
    <w:rsid w:val="007E66F1"/>
    <w:rsid w:val="008102CA"/>
    <w:rsid w:val="00826FAB"/>
    <w:rsid w:val="008B6CA4"/>
    <w:rsid w:val="008D6440"/>
    <w:rsid w:val="0096219D"/>
    <w:rsid w:val="00965BF0"/>
    <w:rsid w:val="009861A6"/>
    <w:rsid w:val="009871D4"/>
    <w:rsid w:val="009E4620"/>
    <w:rsid w:val="009E566F"/>
    <w:rsid w:val="00A02DAF"/>
    <w:rsid w:val="00A474B3"/>
    <w:rsid w:val="00A77A69"/>
    <w:rsid w:val="00A839DC"/>
    <w:rsid w:val="00B63500"/>
    <w:rsid w:val="00B8250C"/>
    <w:rsid w:val="00BB6E45"/>
    <w:rsid w:val="00BE284F"/>
    <w:rsid w:val="00BF7CF2"/>
    <w:rsid w:val="00C4153C"/>
    <w:rsid w:val="00CA1146"/>
    <w:rsid w:val="00CC6C1A"/>
    <w:rsid w:val="00CE6531"/>
    <w:rsid w:val="00D34464"/>
    <w:rsid w:val="00D414A0"/>
    <w:rsid w:val="00D963FB"/>
    <w:rsid w:val="00DA3BFE"/>
    <w:rsid w:val="00DB377C"/>
    <w:rsid w:val="00DC0772"/>
    <w:rsid w:val="00DE6CA5"/>
    <w:rsid w:val="00DF37DD"/>
    <w:rsid w:val="00E0574D"/>
    <w:rsid w:val="00E267A5"/>
    <w:rsid w:val="00E54C21"/>
    <w:rsid w:val="00EE7775"/>
    <w:rsid w:val="00F3048B"/>
    <w:rsid w:val="00F97C5B"/>
    <w:rsid w:val="00FA61AE"/>
    <w:rsid w:val="00FC37F6"/>
    <w:rsid w:val="00FC5997"/>
    <w:rsid w:val="00FD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Glasgow</dc:creator>
  <cp:lastModifiedBy>Arlene Glasgow</cp:lastModifiedBy>
  <cp:revision>70</cp:revision>
  <dcterms:created xsi:type="dcterms:W3CDTF">2017-06-07T21:03:00Z</dcterms:created>
  <dcterms:modified xsi:type="dcterms:W3CDTF">2017-06-10T21:43:00Z</dcterms:modified>
</cp:coreProperties>
</file>