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3F97" w:rsidRDefault="00963F97" w:rsidP="00963F97">
      <w:pPr>
        <w:pStyle w:val="Default"/>
      </w:pPr>
    </w:p>
    <w:p w:rsidR="00963F97" w:rsidRDefault="00963F97" w:rsidP="00963F97">
      <w:pPr>
        <w:pStyle w:val="Default"/>
        <w:rPr>
          <w:sz w:val="23"/>
          <w:szCs w:val="23"/>
        </w:rPr>
      </w:pPr>
      <w:r>
        <w:t xml:space="preserve"> </w:t>
      </w:r>
      <w:r>
        <w:rPr>
          <w:b/>
          <w:bCs/>
          <w:sz w:val="23"/>
          <w:szCs w:val="23"/>
        </w:rPr>
        <w:t xml:space="preserve">Title: - Role of T-cell in Bronchial Asthmatic </w:t>
      </w:r>
    </w:p>
    <w:p w:rsidR="00963F97" w:rsidRDefault="00963F97" w:rsidP="00963F97">
      <w:pPr>
        <w:pStyle w:val="Default"/>
        <w:rPr>
          <w:sz w:val="23"/>
          <w:szCs w:val="23"/>
        </w:rPr>
      </w:pPr>
      <w:r>
        <w:rPr>
          <w:sz w:val="23"/>
          <w:szCs w:val="23"/>
        </w:rPr>
        <w:t xml:space="preserve">Laila </w:t>
      </w:r>
      <w:proofErr w:type="spellStart"/>
      <w:r>
        <w:rPr>
          <w:sz w:val="23"/>
          <w:szCs w:val="23"/>
        </w:rPr>
        <w:t>Damanhouri</w:t>
      </w:r>
      <w:proofErr w:type="spellEnd"/>
      <w:r>
        <w:rPr>
          <w:sz w:val="23"/>
          <w:szCs w:val="23"/>
        </w:rPr>
        <w:t xml:space="preserve"> Medical Laboratory Technology Department, Faculty of Applied Medical Sciences, King </w:t>
      </w:r>
      <w:proofErr w:type="spellStart"/>
      <w:r>
        <w:rPr>
          <w:sz w:val="23"/>
          <w:szCs w:val="23"/>
        </w:rPr>
        <w:t>Abdulaziz</w:t>
      </w:r>
      <w:proofErr w:type="spellEnd"/>
      <w:r>
        <w:rPr>
          <w:sz w:val="23"/>
          <w:szCs w:val="23"/>
        </w:rPr>
        <w:t xml:space="preserve"> University, Jeddah, </w:t>
      </w:r>
    </w:p>
    <w:p w:rsidR="00963F97" w:rsidRDefault="00963F97" w:rsidP="00963F97">
      <w:pPr>
        <w:pStyle w:val="Default"/>
        <w:rPr>
          <w:sz w:val="23"/>
          <w:szCs w:val="23"/>
        </w:rPr>
      </w:pPr>
      <w:r>
        <w:rPr>
          <w:sz w:val="23"/>
          <w:szCs w:val="23"/>
        </w:rPr>
        <w:t xml:space="preserve">Saudi Arabia. </w:t>
      </w:r>
    </w:p>
    <w:p w:rsidR="00963F97" w:rsidRDefault="00963F97" w:rsidP="00963F97">
      <w:pPr>
        <w:pStyle w:val="Default"/>
        <w:rPr>
          <w:sz w:val="23"/>
          <w:szCs w:val="23"/>
        </w:rPr>
      </w:pPr>
      <w:r>
        <w:rPr>
          <w:b/>
          <w:bCs/>
          <w:sz w:val="23"/>
          <w:szCs w:val="23"/>
        </w:rPr>
        <w:t xml:space="preserve">Abstract: </w:t>
      </w:r>
    </w:p>
    <w:p w:rsidR="00963F97" w:rsidRDefault="00963F97" w:rsidP="00963F97">
      <w:pPr>
        <w:pStyle w:val="Default"/>
        <w:rPr>
          <w:sz w:val="23"/>
          <w:szCs w:val="23"/>
        </w:rPr>
      </w:pPr>
      <w:r>
        <w:rPr>
          <w:b/>
          <w:bCs/>
          <w:sz w:val="23"/>
          <w:szCs w:val="23"/>
        </w:rPr>
        <w:t xml:space="preserve">Background: Bronchial asthma is an inflammatory airway disease characterized by infiltration of inflammatory cells into bronchial tree and increased airway hyper-reactivity to various physical and chemical stimuli. </w:t>
      </w:r>
    </w:p>
    <w:p w:rsidR="00963F97" w:rsidRDefault="00963F97" w:rsidP="00963F97">
      <w:pPr>
        <w:pStyle w:val="Default"/>
        <w:rPr>
          <w:sz w:val="23"/>
          <w:szCs w:val="23"/>
        </w:rPr>
      </w:pPr>
      <w:r>
        <w:rPr>
          <w:b/>
          <w:bCs/>
          <w:sz w:val="23"/>
          <w:szCs w:val="23"/>
        </w:rPr>
        <w:t xml:space="preserve">T-cells play an important role in pathogenesis and inflammatory immune response in bronchial asthma. </w:t>
      </w:r>
    </w:p>
    <w:p w:rsidR="00963F97" w:rsidRDefault="00963F97" w:rsidP="00963F97">
      <w:pPr>
        <w:pStyle w:val="Default"/>
        <w:rPr>
          <w:sz w:val="23"/>
          <w:szCs w:val="23"/>
        </w:rPr>
      </w:pPr>
      <w:r>
        <w:rPr>
          <w:b/>
          <w:bCs/>
          <w:sz w:val="23"/>
          <w:szCs w:val="23"/>
        </w:rPr>
        <w:t xml:space="preserve">The aim of this study was to detect soluble interleukin-2 receptors (sIL-2) serum levels, as marker of T lymphocyte activation in vivo, among bronchial asthmatic children. </w:t>
      </w:r>
    </w:p>
    <w:p w:rsidR="00963F97" w:rsidRDefault="00963F97" w:rsidP="00963F97">
      <w:pPr>
        <w:pStyle w:val="Default"/>
        <w:rPr>
          <w:sz w:val="23"/>
          <w:szCs w:val="23"/>
        </w:rPr>
      </w:pPr>
      <w:r>
        <w:rPr>
          <w:b/>
          <w:bCs/>
          <w:sz w:val="23"/>
          <w:szCs w:val="23"/>
        </w:rPr>
        <w:t xml:space="preserve">Methods: </w:t>
      </w:r>
      <w:r>
        <w:rPr>
          <w:b/>
          <w:bCs/>
          <w:sz w:val="22"/>
          <w:szCs w:val="22"/>
        </w:rPr>
        <w:t xml:space="preserve">The study was done at </w:t>
      </w:r>
      <w:r>
        <w:rPr>
          <w:b/>
          <w:bCs/>
          <w:sz w:val="23"/>
          <w:szCs w:val="23"/>
        </w:rPr>
        <w:t xml:space="preserve">King </w:t>
      </w:r>
      <w:proofErr w:type="spellStart"/>
      <w:r>
        <w:rPr>
          <w:b/>
          <w:bCs/>
          <w:sz w:val="23"/>
          <w:szCs w:val="23"/>
        </w:rPr>
        <w:t>Abdulaziz</w:t>
      </w:r>
      <w:proofErr w:type="spellEnd"/>
      <w:r>
        <w:rPr>
          <w:b/>
          <w:bCs/>
          <w:sz w:val="23"/>
          <w:szCs w:val="23"/>
        </w:rPr>
        <w:t xml:space="preserve"> University Hospital from January 2015 to December 2015. 77 children were included and subdivided into three groups (acute asthmatic; chronic stable asthmatic and control (table 1, demographic data). </w:t>
      </w:r>
    </w:p>
    <w:p w:rsidR="00963F97" w:rsidRDefault="00963F97" w:rsidP="00963F97">
      <w:pPr>
        <w:pStyle w:val="Default"/>
        <w:rPr>
          <w:sz w:val="23"/>
          <w:szCs w:val="23"/>
        </w:rPr>
      </w:pPr>
      <w:r>
        <w:rPr>
          <w:b/>
          <w:bCs/>
          <w:sz w:val="22"/>
          <w:szCs w:val="22"/>
        </w:rPr>
        <w:t xml:space="preserve">After </w:t>
      </w:r>
      <w:r>
        <w:rPr>
          <w:b/>
          <w:bCs/>
          <w:sz w:val="23"/>
          <w:szCs w:val="23"/>
        </w:rPr>
        <w:t xml:space="preserve">History and </w:t>
      </w:r>
      <w:r>
        <w:rPr>
          <w:b/>
          <w:bCs/>
          <w:sz w:val="22"/>
          <w:szCs w:val="22"/>
        </w:rPr>
        <w:t xml:space="preserve">clinical examination, with acute asthma were classified into atopic and non-atopic groups. </w:t>
      </w:r>
      <w:r>
        <w:rPr>
          <w:b/>
          <w:bCs/>
          <w:sz w:val="23"/>
          <w:szCs w:val="23"/>
        </w:rPr>
        <w:t xml:space="preserve">Blood sample was taken from all groups and sIL-2R was measured by ELISA technique. </w:t>
      </w:r>
    </w:p>
    <w:p w:rsidR="00963F97" w:rsidRDefault="00963F97" w:rsidP="00963F97">
      <w:pPr>
        <w:pStyle w:val="Default"/>
        <w:pageBreakBefore/>
        <w:rPr>
          <w:sz w:val="23"/>
          <w:szCs w:val="23"/>
        </w:rPr>
      </w:pPr>
      <w:r>
        <w:rPr>
          <w:b/>
          <w:bCs/>
          <w:sz w:val="23"/>
          <w:szCs w:val="23"/>
        </w:rPr>
        <w:lastRenderedPageBreak/>
        <w:t xml:space="preserve">Results: sIL-2R serum level was significantly elevated in acute and chronic asthmatic children versus controls (table 1). Meanwhile, in acute asthmatic, insignificant differences were recorded between different atopic states of the disease (table 2). . </w:t>
      </w:r>
    </w:p>
    <w:p w:rsidR="00963F97" w:rsidRDefault="00963F97" w:rsidP="00963F97">
      <w:pPr>
        <w:pStyle w:val="Default"/>
        <w:rPr>
          <w:sz w:val="23"/>
          <w:szCs w:val="23"/>
        </w:rPr>
      </w:pPr>
      <w:r>
        <w:rPr>
          <w:b/>
          <w:bCs/>
          <w:sz w:val="23"/>
          <w:szCs w:val="23"/>
        </w:rPr>
        <w:t xml:space="preserve">Conclusion: </w:t>
      </w:r>
    </w:p>
    <w:p w:rsidR="00963F97" w:rsidRDefault="00963F97" w:rsidP="00963F97">
      <w:pPr>
        <w:pStyle w:val="Default"/>
        <w:rPr>
          <w:sz w:val="23"/>
          <w:szCs w:val="23"/>
        </w:rPr>
      </w:pPr>
      <w:r>
        <w:rPr>
          <w:b/>
          <w:bCs/>
          <w:sz w:val="23"/>
          <w:szCs w:val="23"/>
        </w:rPr>
        <w:t xml:space="preserve">This study emphasize the role of T cells in asthma and suggest that regulation of their function may be important in the treatment of acute and stable asthmatic children as evident by elevated serum levels of sIL-2R. </w:t>
      </w:r>
    </w:p>
    <w:p w:rsidR="00963F97" w:rsidRDefault="00963F97" w:rsidP="00963F97">
      <w:pPr>
        <w:pStyle w:val="Default"/>
        <w:rPr>
          <w:sz w:val="23"/>
          <w:szCs w:val="23"/>
        </w:rPr>
      </w:pPr>
      <w:r>
        <w:rPr>
          <w:b/>
          <w:bCs/>
          <w:sz w:val="23"/>
          <w:szCs w:val="23"/>
        </w:rPr>
        <w:t xml:space="preserve">Keywords: T cell; Bronchial asthma; soluble interleukin-2 receptors </w:t>
      </w:r>
    </w:p>
    <w:p w:rsidR="007263C1" w:rsidRDefault="00963F97" w:rsidP="00963F97">
      <w:pPr>
        <w:pStyle w:val="Default"/>
        <w:pageBreakBefore/>
        <w:rPr>
          <w:sz w:val="23"/>
          <w:szCs w:val="23"/>
        </w:rPr>
      </w:pPr>
      <w:r>
        <w:rPr>
          <w:sz w:val="23"/>
          <w:szCs w:val="23"/>
        </w:rPr>
        <w:lastRenderedPageBreak/>
        <w:t xml:space="preserve">Table 1, Demographic Characteristics and soluble interleukin-2 receptors (sIL-2) of different studied groups </w:t>
      </w:r>
    </w:p>
    <w:tbl>
      <w:tblPr>
        <w:tblStyle w:val="TableGrid"/>
        <w:tblW w:w="0" w:type="auto"/>
        <w:tblLook w:val="04A0" w:firstRow="1" w:lastRow="0" w:firstColumn="1" w:lastColumn="0" w:noHBand="0" w:noVBand="1"/>
      </w:tblPr>
      <w:tblGrid>
        <w:gridCol w:w="1908"/>
        <w:gridCol w:w="1800"/>
        <w:gridCol w:w="1664"/>
        <w:gridCol w:w="1800"/>
      </w:tblGrid>
      <w:tr w:rsidR="007263C1" w:rsidTr="00EC7929">
        <w:tc>
          <w:tcPr>
            <w:tcW w:w="1908" w:type="dxa"/>
          </w:tcPr>
          <w:p w:rsidR="007263C1" w:rsidRDefault="007263C1" w:rsidP="007263C1">
            <w:pPr>
              <w:jc w:val="center"/>
            </w:pPr>
            <w:r w:rsidRPr="006E13F2">
              <w:t>Item</w:t>
            </w:r>
          </w:p>
        </w:tc>
        <w:tc>
          <w:tcPr>
            <w:tcW w:w="1800" w:type="dxa"/>
          </w:tcPr>
          <w:p w:rsidR="007263C1" w:rsidRDefault="007263C1" w:rsidP="007263C1">
            <w:pPr>
              <w:jc w:val="center"/>
            </w:pPr>
            <w:r>
              <w:t>Control group</w:t>
            </w:r>
          </w:p>
        </w:tc>
        <w:tc>
          <w:tcPr>
            <w:tcW w:w="1664" w:type="dxa"/>
          </w:tcPr>
          <w:p w:rsidR="007263C1" w:rsidRDefault="007263C1" w:rsidP="007263C1">
            <w:pPr>
              <w:jc w:val="center"/>
            </w:pPr>
            <w:r>
              <w:t>Patients with acute asthma</w:t>
            </w:r>
          </w:p>
          <w:p w:rsidR="00A07D30" w:rsidRDefault="007263C1" w:rsidP="007263C1">
            <w:pPr>
              <w:jc w:val="center"/>
            </w:pPr>
            <w:r>
              <w:t>Number</w:t>
            </w:r>
          </w:p>
          <w:p w:rsidR="007263C1" w:rsidRDefault="007263C1" w:rsidP="007263C1">
            <w:pPr>
              <w:jc w:val="center"/>
            </w:pPr>
            <w:bookmarkStart w:id="0" w:name="_GoBack"/>
            <w:bookmarkEnd w:id="0"/>
            <w:r>
              <w:t xml:space="preserve"> 30</w:t>
            </w:r>
          </w:p>
        </w:tc>
        <w:tc>
          <w:tcPr>
            <w:tcW w:w="1800" w:type="dxa"/>
          </w:tcPr>
          <w:p w:rsidR="007263C1" w:rsidRDefault="007263C1" w:rsidP="007263C1">
            <w:pPr>
              <w:bidi w:val="0"/>
              <w:jc w:val="center"/>
            </w:pPr>
            <w:r>
              <w:t>Patients with chronic (stable) asthma</w:t>
            </w:r>
          </w:p>
        </w:tc>
      </w:tr>
      <w:tr w:rsidR="007263C1" w:rsidTr="00EC7929">
        <w:tc>
          <w:tcPr>
            <w:tcW w:w="1908" w:type="dxa"/>
          </w:tcPr>
          <w:p w:rsidR="007263C1" w:rsidRDefault="007263C1" w:rsidP="007263C1">
            <w:pPr>
              <w:jc w:val="center"/>
            </w:pPr>
            <w:r>
              <w:t>Age (years) mean</w:t>
            </w:r>
          </w:p>
          <w:p w:rsidR="007263C1" w:rsidRDefault="007263C1" w:rsidP="007263C1">
            <w:pPr>
              <w:bidi w:val="0"/>
              <w:jc w:val="center"/>
            </w:pPr>
            <w:r>
              <w:t>P value</w:t>
            </w:r>
          </w:p>
          <w:p w:rsidR="007263C1" w:rsidRDefault="007263C1" w:rsidP="007263C1">
            <w:pPr>
              <w:jc w:val="center"/>
            </w:pPr>
          </w:p>
        </w:tc>
        <w:tc>
          <w:tcPr>
            <w:tcW w:w="1800" w:type="dxa"/>
          </w:tcPr>
          <w:p w:rsidR="007263C1" w:rsidRDefault="007263C1" w:rsidP="007263C1">
            <w:pPr>
              <w:tabs>
                <w:tab w:val="left" w:pos="427"/>
              </w:tabs>
              <w:jc w:val="center"/>
            </w:pPr>
            <w:r>
              <w:t>4.75±2.20</w:t>
            </w:r>
          </w:p>
          <w:p w:rsidR="007263C1" w:rsidRDefault="007263C1" w:rsidP="007263C1">
            <w:pPr>
              <w:jc w:val="center"/>
            </w:pPr>
            <w:r>
              <w:t>2.00-9.00</w:t>
            </w:r>
          </w:p>
        </w:tc>
        <w:tc>
          <w:tcPr>
            <w:tcW w:w="1664" w:type="dxa"/>
          </w:tcPr>
          <w:p w:rsidR="007263C1" w:rsidRDefault="007263C1" w:rsidP="007263C1">
            <w:pPr>
              <w:tabs>
                <w:tab w:val="left" w:pos="427"/>
              </w:tabs>
              <w:jc w:val="center"/>
            </w:pPr>
            <w:r>
              <w:t>5.33±1.70</w:t>
            </w:r>
          </w:p>
          <w:p w:rsidR="007263C1" w:rsidRDefault="007263C1" w:rsidP="007263C1">
            <w:pPr>
              <w:jc w:val="center"/>
            </w:pPr>
            <w:r>
              <w:t>2.00-8.00</w:t>
            </w:r>
          </w:p>
          <w:p w:rsidR="007263C1" w:rsidRPr="00FD55DF" w:rsidRDefault="007263C1" w:rsidP="007263C1">
            <w:pPr>
              <w:jc w:val="center"/>
            </w:pPr>
            <w:r>
              <w:t>P &gt;0.05</w:t>
            </w:r>
          </w:p>
        </w:tc>
        <w:tc>
          <w:tcPr>
            <w:tcW w:w="1800" w:type="dxa"/>
          </w:tcPr>
          <w:p w:rsidR="007263C1" w:rsidRDefault="007263C1" w:rsidP="007263C1">
            <w:pPr>
              <w:jc w:val="center"/>
            </w:pPr>
            <w:r>
              <w:t>5.46±1.30</w:t>
            </w:r>
          </w:p>
          <w:p w:rsidR="007263C1" w:rsidRDefault="007263C1" w:rsidP="007263C1">
            <w:pPr>
              <w:jc w:val="center"/>
            </w:pPr>
            <w:r>
              <w:t>2.00-9.00</w:t>
            </w:r>
          </w:p>
          <w:p w:rsidR="007263C1" w:rsidRPr="00C01858" w:rsidRDefault="007263C1" w:rsidP="007263C1">
            <w:pPr>
              <w:jc w:val="center"/>
            </w:pPr>
            <w:r>
              <w:t>P &gt;0.05 *P &gt;0.05</w:t>
            </w:r>
          </w:p>
        </w:tc>
      </w:tr>
      <w:tr w:rsidR="007263C1" w:rsidTr="00EC7929">
        <w:tc>
          <w:tcPr>
            <w:tcW w:w="1908" w:type="dxa"/>
          </w:tcPr>
          <w:p w:rsidR="007263C1" w:rsidRDefault="007263C1" w:rsidP="007263C1">
            <w:pPr>
              <w:jc w:val="center"/>
            </w:pPr>
            <w:r>
              <w:t>Sex</w:t>
            </w:r>
          </w:p>
          <w:p w:rsidR="007263C1" w:rsidRDefault="007263C1" w:rsidP="007263C1">
            <w:pPr>
              <w:jc w:val="center"/>
            </w:pPr>
            <w:r>
              <w:t>Number of male</w:t>
            </w:r>
          </w:p>
          <w:p w:rsidR="007263C1" w:rsidRDefault="007263C1" w:rsidP="007263C1">
            <w:pPr>
              <w:jc w:val="center"/>
            </w:pPr>
            <w:r>
              <w:t>Number of Female</w:t>
            </w:r>
          </w:p>
          <w:p w:rsidR="007263C1" w:rsidRDefault="007263C1" w:rsidP="007263C1">
            <w:pPr>
              <w:jc w:val="center"/>
            </w:pPr>
            <w:r>
              <w:t>P value</w:t>
            </w:r>
          </w:p>
        </w:tc>
        <w:tc>
          <w:tcPr>
            <w:tcW w:w="1800" w:type="dxa"/>
          </w:tcPr>
          <w:p w:rsidR="007263C1" w:rsidRDefault="007263C1" w:rsidP="007263C1">
            <w:pPr>
              <w:jc w:val="center"/>
            </w:pPr>
          </w:p>
          <w:p w:rsidR="007263C1" w:rsidRDefault="007263C1" w:rsidP="007263C1">
            <w:pPr>
              <w:tabs>
                <w:tab w:val="left" w:pos="427"/>
              </w:tabs>
              <w:jc w:val="center"/>
            </w:pPr>
            <w:r>
              <w:t>9 (52.94%)</w:t>
            </w:r>
          </w:p>
          <w:p w:rsidR="007263C1" w:rsidRDefault="007263C1" w:rsidP="007263C1">
            <w:pPr>
              <w:jc w:val="center"/>
            </w:pPr>
            <w:r>
              <w:t>8 (47.06%)</w:t>
            </w:r>
          </w:p>
        </w:tc>
        <w:tc>
          <w:tcPr>
            <w:tcW w:w="1664" w:type="dxa"/>
          </w:tcPr>
          <w:p w:rsidR="007263C1" w:rsidRDefault="007263C1" w:rsidP="007263C1">
            <w:pPr>
              <w:jc w:val="center"/>
            </w:pPr>
          </w:p>
          <w:p w:rsidR="007263C1" w:rsidRDefault="007263C1" w:rsidP="007263C1">
            <w:pPr>
              <w:tabs>
                <w:tab w:val="left" w:pos="427"/>
              </w:tabs>
              <w:jc w:val="center"/>
            </w:pPr>
            <w:r>
              <w:t>16 (53.33%)</w:t>
            </w:r>
          </w:p>
          <w:p w:rsidR="007263C1" w:rsidRDefault="007263C1" w:rsidP="007263C1">
            <w:pPr>
              <w:jc w:val="center"/>
            </w:pPr>
            <w:r>
              <w:t>14 (46.67%)</w:t>
            </w:r>
          </w:p>
          <w:p w:rsidR="007263C1" w:rsidRDefault="007263C1" w:rsidP="007263C1">
            <w:pPr>
              <w:jc w:val="center"/>
            </w:pPr>
            <w:r w:rsidRPr="00C01858">
              <w:t>P &gt;0.05</w:t>
            </w:r>
          </w:p>
        </w:tc>
        <w:tc>
          <w:tcPr>
            <w:tcW w:w="1800" w:type="dxa"/>
          </w:tcPr>
          <w:p w:rsidR="007263C1" w:rsidRDefault="007263C1" w:rsidP="007263C1">
            <w:pPr>
              <w:jc w:val="center"/>
            </w:pPr>
          </w:p>
          <w:p w:rsidR="007263C1" w:rsidRDefault="007263C1" w:rsidP="007263C1">
            <w:pPr>
              <w:jc w:val="center"/>
            </w:pPr>
            <w:r>
              <w:t>17(56.66%)</w:t>
            </w:r>
          </w:p>
          <w:p w:rsidR="007263C1" w:rsidRDefault="007263C1" w:rsidP="007263C1">
            <w:pPr>
              <w:jc w:val="center"/>
            </w:pPr>
            <w:r>
              <w:t>13 (43.34%)</w:t>
            </w:r>
          </w:p>
          <w:p w:rsidR="007263C1" w:rsidRPr="00C01858" w:rsidRDefault="007263C1" w:rsidP="007263C1">
            <w:pPr>
              <w:jc w:val="center"/>
            </w:pPr>
            <w:r w:rsidRPr="00F0587D">
              <w:t>P &gt;0.05</w:t>
            </w:r>
          </w:p>
        </w:tc>
      </w:tr>
      <w:tr w:rsidR="007263C1" w:rsidTr="00EC7929">
        <w:tc>
          <w:tcPr>
            <w:tcW w:w="1908" w:type="dxa"/>
          </w:tcPr>
          <w:p w:rsidR="007263C1" w:rsidRDefault="007263C1" w:rsidP="007263C1">
            <w:pPr>
              <w:jc w:val="center"/>
            </w:pPr>
            <w:r w:rsidRPr="00F0587D">
              <w:t>sIL-2R (U/ml)</w:t>
            </w:r>
          </w:p>
          <w:p w:rsidR="007263C1" w:rsidRDefault="007263C1" w:rsidP="007263C1">
            <w:pPr>
              <w:jc w:val="center"/>
            </w:pPr>
            <w:r w:rsidRPr="00F0587D">
              <w:t>mean</w:t>
            </w:r>
          </w:p>
          <w:p w:rsidR="007263C1" w:rsidRDefault="007263C1" w:rsidP="007263C1">
            <w:pPr>
              <w:jc w:val="center"/>
            </w:pPr>
            <w:r w:rsidRPr="00F0587D">
              <w:t>range</w:t>
            </w:r>
          </w:p>
          <w:p w:rsidR="007263C1" w:rsidRDefault="007263C1" w:rsidP="007263C1">
            <w:pPr>
              <w:jc w:val="center"/>
            </w:pPr>
            <w:r w:rsidRPr="00F0587D">
              <w:t>P-value</w:t>
            </w:r>
          </w:p>
        </w:tc>
        <w:tc>
          <w:tcPr>
            <w:tcW w:w="1800" w:type="dxa"/>
          </w:tcPr>
          <w:p w:rsidR="007263C1" w:rsidRDefault="007263C1" w:rsidP="007263C1">
            <w:pPr>
              <w:jc w:val="center"/>
            </w:pPr>
          </w:p>
          <w:p w:rsidR="007263C1" w:rsidRDefault="007263C1" w:rsidP="007263C1">
            <w:pPr>
              <w:jc w:val="center"/>
            </w:pPr>
            <w:r w:rsidRPr="00F0587D">
              <w:t>240.34 ±355.67     154.00-1252.00</w:t>
            </w:r>
          </w:p>
          <w:p w:rsidR="007263C1" w:rsidRPr="00C2105A" w:rsidRDefault="007263C1" w:rsidP="007263C1">
            <w:pPr>
              <w:jc w:val="center"/>
            </w:pPr>
            <w:r>
              <w:t>P &lt;0.001</w:t>
            </w:r>
          </w:p>
        </w:tc>
        <w:tc>
          <w:tcPr>
            <w:tcW w:w="1664" w:type="dxa"/>
          </w:tcPr>
          <w:p w:rsidR="007263C1" w:rsidRDefault="007263C1" w:rsidP="007263C1">
            <w:pPr>
              <w:jc w:val="center"/>
            </w:pPr>
          </w:p>
          <w:p w:rsidR="007263C1" w:rsidRDefault="007263C1" w:rsidP="007263C1">
            <w:pPr>
              <w:jc w:val="center"/>
            </w:pPr>
            <w:r>
              <w:t>705.00±1550.00</w:t>
            </w:r>
          </w:p>
          <w:p w:rsidR="007263C1" w:rsidRPr="00F0587D" w:rsidRDefault="007263C1" w:rsidP="007263C1">
            <w:pPr>
              <w:jc w:val="center"/>
            </w:pPr>
            <w:r>
              <w:t>450.00-2854.00</w:t>
            </w:r>
          </w:p>
        </w:tc>
        <w:tc>
          <w:tcPr>
            <w:tcW w:w="1800" w:type="dxa"/>
          </w:tcPr>
          <w:p w:rsidR="007263C1" w:rsidRDefault="007263C1" w:rsidP="007263C1">
            <w:pPr>
              <w:jc w:val="center"/>
            </w:pPr>
          </w:p>
          <w:p w:rsidR="007263C1" w:rsidRDefault="007263C1" w:rsidP="007263C1">
            <w:pPr>
              <w:jc w:val="center"/>
            </w:pPr>
            <w:r>
              <w:t>308.00±570</w:t>
            </w:r>
          </w:p>
          <w:p w:rsidR="007263C1" w:rsidRDefault="007263C1" w:rsidP="007263C1">
            <w:pPr>
              <w:bidi w:val="0"/>
              <w:jc w:val="center"/>
            </w:pPr>
            <w:r>
              <w:t>154.00-1252.00</w:t>
            </w:r>
          </w:p>
          <w:p w:rsidR="007263C1" w:rsidRDefault="007263C1" w:rsidP="007263C1">
            <w:pPr>
              <w:jc w:val="center"/>
            </w:pPr>
            <w:r w:rsidRPr="00C2105A">
              <w:t>P &lt;0.001</w:t>
            </w:r>
          </w:p>
          <w:p w:rsidR="007263C1" w:rsidRDefault="007263C1" w:rsidP="007263C1">
            <w:pPr>
              <w:jc w:val="center"/>
            </w:pPr>
            <w:r w:rsidRPr="00C2105A">
              <w:t>*P &lt;0.001</w:t>
            </w:r>
          </w:p>
        </w:tc>
      </w:tr>
    </w:tbl>
    <w:p w:rsidR="00963F97" w:rsidRPr="007263C1" w:rsidRDefault="00963F97" w:rsidP="007263C1">
      <w:pPr>
        <w:jc w:val="right"/>
      </w:pPr>
    </w:p>
    <w:sectPr w:rsidR="00963F97" w:rsidRPr="007263C1" w:rsidSect="00A07D30">
      <w:pgSz w:w="11906" w:h="16838"/>
      <w:pgMar w:top="1440" w:right="1800" w:bottom="1440" w:left="1800" w:header="706" w:footer="706"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3F97"/>
    <w:rsid w:val="00477C95"/>
    <w:rsid w:val="00486F03"/>
    <w:rsid w:val="007263C1"/>
    <w:rsid w:val="00953338"/>
    <w:rsid w:val="00963F97"/>
    <w:rsid w:val="00A07D3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63F97"/>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7263C1"/>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63F97"/>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7263C1"/>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3</Pages>
  <Words>343</Words>
  <Characters>1956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Laila H. Damanhouri ليلى  دمنهوري</dc:creator>
  <cp:lastModifiedBy>user</cp:lastModifiedBy>
  <cp:revision>3</cp:revision>
  <dcterms:created xsi:type="dcterms:W3CDTF">2017-04-24T17:16:00Z</dcterms:created>
  <dcterms:modified xsi:type="dcterms:W3CDTF">2017-04-24T18:02:00Z</dcterms:modified>
</cp:coreProperties>
</file>