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1EB" w:rsidRDefault="002E6608" w:rsidP="00AF61EB">
      <w:pPr>
        <w:keepNext/>
      </w:pPr>
      <w:r>
        <w:rPr>
          <w:rFonts w:eastAsia="MS PGothic"/>
          <w:b/>
          <w:noProof/>
          <w:color w:val="000000"/>
          <w:sz w:val="28"/>
          <w:szCs w:val="28"/>
          <w:lang w:eastAsia="en-US"/>
        </w:rPr>
        <mc:AlternateContent>
          <mc:Choice Requires="wps">
            <w:drawing>
              <wp:anchor distT="0" distB="0" distL="114300" distR="114300" simplePos="0" relativeHeight="251657728" behindDoc="1" locked="0" layoutInCell="1" allowOverlap="1">
                <wp:simplePos x="0" y="0"/>
                <wp:positionH relativeFrom="column">
                  <wp:posOffset>3943350</wp:posOffset>
                </wp:positionH>
                <wp:positionV relativeFrom="paragraph">
                  <wp:posOffset>123825</wp:posOffset>
                </wp:positionV>
                <wp:extent cx="1647825" cy="1524000"/>
                <wp:effectExtent l="19050" t="19050" r="28575" b="19050"/>
                <wp:wrapTight wrapText="bothSides">
                  <wp:wrapPolygon edited="0">
                    <wp:start x="1748" y="-270"/>
                    <wp:lineTo x="-250" y="-270"/>
                    <wp:lineTo x="-250" y="19980"/>
                    <wp:lineTo x="999" y="21330"/>
                    <wp:lineTo x="1498" y="21600"/>
                    <wp:lineTo x="19977" y="21600"/>
                    <wp:lineTo x="20976" y="21330"/>
                    <wp:lineTo x="21725" y="18630"/>
                    <wp:lineTo x="21725" y="2160"/>
                    <wp:lineTo x="20976" y="270"/>
                    <wp:lineTo x="19977" y="-270"/>
                    <wp:lineTo x="1748" y="-270"/>
                  </wp:wrapPolygon>
                </wp:wrapTight>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15240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79667B">
                            <w:pPr>
                              <w:rPr>
                                <w:lang w:val="en-IN"/>
                              </w:rPr>
                            </w:pPr>
                            <w:r w:rsidRPr="0079667B">
                              <w:drawing>
                                <wp:inline distT="0" distB="0" distL="0" distR="0" wp14:anchorId="24AF3A5C" wp14:editId="715E9DA8">
                                  <wp:extent cx="1285875" cy="12668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85875" cy="1266825"/>
                                          </a:xfrm>
                                          <a:prstGeom prst="rect">
                                            <a:avLst/>
                                          </a:prstGeom>
                                          <a:noFill/>
                                          <a:ln>
                                            <a:noFill/>
                                          </a:ln>
                                        </pic:spPr>
                                      </pic:pic>
                                    </a:graphicData>
                                  </a:graphic>
                                </wp:inline>
                              </w:drawing>
                            </w:r>
                          </w:p>
                          <w:p w:rsidR="00AF61EB" w:rsidRPr="00B03DB8" w:rsidRDefault="00AF61EB">
                            <w:pPr>
                              <w:rPr>
                                <w:b/>
                                <w:color w:val="0000FF"/>
                                <w:lang w:val="en-IN"/>
                              </w:rPr>
                            </w:pPr>
                            <w:r w:rsidRPr="00B03DB8">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0.5pt;margin-top:9.75pt;width:129.75pt;height:12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" strokecolor="#9bbb59" strokeweight="2.5pt">
                <v:shadow color="#868686"/>
                <v:textbox>
                  <w:txbxContent>
                    <w:p w:rsidR="00AF61EB" w:rsidRDefault="0079667B">
                      <w:pPr>
                        <w:rPr>
                          <w:lang w:val="en-IN"/>
                        </w:rPr>
                      </w:pPr>
                      <w:r w:rsidRPr="0079667B">
                        <w:drawing>
                          <wp:inline distT="0" distB="0" distL="0" distR="0" wp14:anchorId="24AF3A5C" wp14:editId="715E9DA8">
                            <wp:extent cx="1285875" cy="12668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85875" cy="1266825"/>
                                    </a:xfrm>
                                    <a:prstGeom prst="rect">
                                      <a:avLst/>
                                    </a:prstGeom>
                                    <a:noFill/>
                                    <a:ln>
                                      <a:noFill/>
                                    </a:ln>
                                  </pic:spPr>
                                </pic:pic>
                              </a:graphicData>
                            </a:graphic>
                          </wp:inline>
                        </w:drawing>
                      </w:r>
                    </w:p>
                    <w:p w:rsidR="00AF61EB" w:rsidRPr="00B03DB8" w:rsidRDefault="00AF61EB">
                      <w:pPr>
                        <w:rPr>
                          <w:b/>
                          <w:color w:val="0000FF"/>
                          <w:lang w:val="en-IN"/>
                        </w:rPr>
                      </w:pPr>
                      <w:r w:rsidRPr="00B03DB8">
                        <w:rPr>
                          <w:b/>
                          <w:color w:val="0000FF"/>
                          <w:lang w:val="en-IN"/>
                        </w:rPr>
                        <w:t>Paste your Logo here</w:t>
                      </w:r>
                    </w:p>
                  </w:txbxContent>
                </v:textbox>
                <w10:wrap type="tight"/>
              </v:roundrect>
            </w:pict>
          </mc:Fallback>
        </mc:AlternateContent>
      </w:r>
      <w:r w:rsidR="0079667B">
        <w:rPr>
          <w:noProof/>
          <w:lang w:eastAsia="en-US"/>
        </w:rPr>
        <w:drawing>
          <wp:inline distT="0" distB="0" distL="0" distR="0">
            <wp:extent cx="1574358" cy="1693350"/>
            <wp:effectExtent l="0" t="0" r="6985" b="2540"/>
            <wp:docPr id="3" name="Picture 3" descr="C:\Users\Rupesh\AppData\Local\Microsoft\Windows\INetCache\Content.Word\Rup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pesh\AppData\Local\Microsoft\Windows\INetCache\Content.Word\Rupesh.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93569" cy="1714013"/>
                    </a:xfrm>
                    <a:prstGeom prst="rect">
                      <a:avLst/>
                    </a:prstGeom>
                    <a:noFill/>
                    <a:ln>
                      <a:noFill/>
                    </a:ln>
                  </pic:spPr>
                </pic:pic>
              </a:graphicData>
            </a:graphic>
          </wp:inline>
        </w:drawing>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79667B" w:rsidRDefault="0079667B" w:rsidP="0079667B">
      <w:pPr>
        <w:spacing w:line="276" w:lineRule="auto"/>
        <w:jc w:val="center"/>
        <w:rPr>
          <w:rFonts w:eastAsia="MS PGothic" w:hAnsi="Arial"/>
          <w:color w:val="000000"/>
        </w:rPr>
      </w:pPr>
      <w:r w:rsidRPr="0079667B">
        <w:rPr>
          <w:rFonts w:eastAsia="MS PGothic"/>
          <w:b/>
          <w:color w:val="000000"/>
          <w:sz w:val="28"/>
          <w:szCs w:val="28"/>
        </w:rPr>
        <w:t>“Osteo-microbiology”: It Takes GUTS to improve our Bone Health</w:t>
      </w:r>
      <w:r>
        <w:rPr>
          <w:rFonts w:eastAsia="MS PGothic" w:hAnsi="Arial"/>
          <w:color w:val="000000"/>
        </w:rPr>
        <w:t>”</w:t>
      </w:r>
    </w:p>
    <w:p w:rsidR="005B4B32" w:rsidRDefault="0079667B" w:rsidP="0079667B">
      <w:pPr>
        <w:spacing w:line="276" w:lineRule="auto"/>
        <w:jc w:val="center"/>
        <w:rPr>
          <w:rFonts w:eastAsia="MS PGothic" w:hAnsi="Arial"/>
          <w:color w:val="000000"/>
        </w:rPr>
      </w:pPr>
      <w:r>
        <w:rPr>
          <w:rFonts w:eastAsia="MS PGothic" w:hAnsi="Arial"/>
          <w:color w:val="000000"/>
        </w:rPr>
        <w:t xml:space="preserve">Dr. </w:t>
      </w:r>
      <w:r w:rsidRPr="0079667B">
        <w:rPr>
          <w:rFonts w:eastAsia="MS PGothic" w:hAnsi="Arial"/>
          <w:color w:val="000000"/>
        </w:rPr>
        <w:t>Rupesh K. Srivastava</w:t>
      </w:r>
      <w:r w:rsidR="002728A2">
        <w:rPr>
          <w:rFonts w:eastAsia="MS PGothic" w:hAnsi="Arial"/>
          <w:color w:val="000000"/>
        </w:rPr>
        <w:t>*</w:t>
      </w:r>
    </w:p>
    <w:p w:rsidR="008E2F78" w:rsidRDefault="008E2F78" w:rsidP="003A3C5A">
      <w:pPr>
        <w:rPr>
          <w:rFonts w:eastAsia="MS PGothic" w:hAnsi="Arial"/>
          <w:color w:val="000000"/>
        </w:rPr>
      </w:pPr>
    </w:p>
    <w:p w:rsidR="0079667B" w:rsidRDefault="0079667B" w:rsidP="0079667B">
      <w:pPr>
        <w:jc w:val="center"/>
        <w:rPr>
          <w:rFonts w:eastAsia="MS PGothic" w:hAnsi="Arial"/>
          <w:color w:val="000000"/>
        </w:rPr>
      </w:pPr>
      <w:r w:rsidRPr="0079667B">
        <w:rPr>
          <w:rFonts w:eastAsia="MS PGothic" w:hAnsi="Arial"/>
          <w:color w:val="000000"/>
        </w:rPr>
        <w:t xml:space="preserve">Osteoimmunology Laboratory, School of Biological Sciences, </w:t>
      </w:r>
    </w:p>
    <w:p w:rsidR="0079667B" w:rsidRDefault="0079667B" w:rsidP="0079667B">
      <w:pPr>
        <w:jc w:val="center"/>
        <w:rPr>
          <w:rFonts w:eastAsia="MS PGothic" w:hAnsi="Arial"/>
          <w:color w:val="000000"/>
        </w:rPr>
      </w:pPr>
      <w:r w:rsidRPr="0079667B">
        <w:rPr>
          <w:rFonts w:eastAsia="MS PGothic" w:hAnsi="Arial"/>
          <w:color w:val="000000"/>
        </w:rPr>
        <w:t xml:space="preserve">Dr. Harisingh Gour Central University, </w:t>
      </w:r>
    </w:p>
    <w:p w:rsidR="00DC433A" w:rsidRDefault="0079667B" w:rsidP="0079667B">
      <w:pPr>
        <w:jc w:val="center"/>
        <w:rPr>
          <w:rFonts w:eastAsia="MS PGothic" w:hAnsi="Arial"/>
          <w:color w:val="000000"/>
        </w:rPr>
      </w:pPr>
      <w:r w:rsidRPr="0079667B">
        <w:rPr>
          <w:rFonts w:eastAsia="MS PGothic" w:hAnsi="Arial"/>
          <w:color w:val="000000"/>
        </w:rPr>
        <w:t>Sagar (MP)-470003, India</w:t>
      </w:r>
      <w:bookmarkStart w:id="0" w:name="_GoBack"/>
      <w:bookmarkEnd w:id="0"/>
    </w:p>
    <w:p w:rsidR="002728A2" w:rsidRDefault="002728A2" w:rsidP="0079667B">
      <w:pPr>
        <w:jc w:val="center"/>
        <w:rPr>
          <w:rFonts w:eastAsia="MS PGothic" w:hAnsi="Arial"/>
          <w:color w:val="000000"/>
        </w:rPr>
      </w:pPr>
    </w:p>
    <w:p w:rsidR="002728A2" w:rsidRPr="002728A2" w:rsidRDefault="002728A2" w:rsidP="0079667B">
      <w:pPr>
        <w:jc w:val="center"/>
        <w:rPr>
          <w:rFonts w:eastAsia="MS PGothic" w:hAnsi="Arial"/>
          <w:color w:val="000000"/>
          <w:sz w:val="20"/>
          <w:szCs w:val="20"/>
        </w:rPr>
      </w:pPr>
      <w:r w:rsidRPr="002728A2">
        <w:rPr>
          <w:rFonts w:eastAsia="MS PGothic" w:hAnsi="Arial"/>
          <w:color w:val="000000"/>
          <w:sz w:val="20"/>
          <w:szCs w:val="20"/>
        </w:rPr>
        <w:t>*rupesh_srivastava13@yahoo.co.in</w:t>
      </w:r>
    </w:p>
    <w:p w:rsidR="0079667B" w:rsidRPr="00D81022" w:rsidRDefault="0079667B" w:rsidP="0079667B">
      <w:pPr>
        <w:rPr>
          <w:color w:val="0000FF"/>
          <w:sz w:val="36"/>
          <w:szCs w:val="36"/>
        </w:rPr>
      </w:pPr>
    </w:p>
    <w:p w:rsidR="00C839E2" w:rsidRDefault="00E24DA5" w:rsidP="00E24DA5">
      <w:pPr>
        <w:jc w:val="both"/>
        <w:rPr>
          <w:rFonts w:eastAsia="MS PGothic"/>
          <w:color w:val="000000"/>
          <w:szCs w:val="32"/>
        </w:rPr>
      </w:pPr>
      <w:r w:rsidRPr="00E24DA5">
        <w:rPr>
          <w:rFonts w:eastAsia="MS PGothic"/>
          <w:color w:val="000000"/>
          <w:szCs w:val="32"/>
        </w:rPr>
        <w:t xml:space="preserve">The Gut Microbiota (GM) interact with the host immune system (a two-way communication) thereby providing various beneficial effects on the host. We at our group are interested in the novel role of probiotics in regulating bone health (via its effect on the host immune system). </w:t>
      </w:r>
      <w:r w:rsidR="00C839E2" w:rsidRPr="00E24DA5">
        <w:rPr>
          <w:rFonts w:eastAsia="MS PGothic"/>
          <w:color w:val="000000"/>
          <w:szCs w:val="32"/>
        </w:rPr>
        <w:t>Thus,</w:t>
      </w:r>
      <w:r w:rsidRPr="00E24DA5">
        <w:rPr>
          <w:rFonts w:eastAsia="MS PGothic"/>
          <w:color w:val="000000"/>
          <w:szCs w:val="32"/>
        </w:rPr>
        <w:t xml:space="preserve"> the current research opens a new arena of research, called as "Osteo-Microbiology"</w:t>
      </w:r>
      <w:r w:rsidR="00C839E2">
        <w:rPr>
          <w:rFonts w:eastAsia="MS PGothic"/>
          <w:color w:val="000000"/>
          <w:szCs w:val="32"/>
        </w:rPr>
        <w:t xml:space="preserve"> (proposed by our group)</w:t>
      </w:r>
      <w:r w:rsidRPr="00E24DA5">
        <w:rPr>
          <w:rFonts w:eastAsia="MS PGothic"/>
          <w:color w:val="000000"/>
          <w:szCs w:val="32"/>
        </w:rPr>
        <w:t>, which is a delicate interplay between the host Immune, Bone system and GM, which if exploited will ultimately lead to various health benefits (</w:t>
      </w:r>
      <w:proofErr w:type="spellStart"/>
      <w:r w:rsidRPr="00E24DA5">
        <w:rPr>
          <w:rFonts w:eastAsia="MS PGothic"/>
          <w:color w:val="000000"/>
          <w:szCs w:val="32"/>
        </w:rPr>
        <w:t>eg</w:t>
      </w:r>
      <w:proofErr w:type="spellEnd"/>
      <w:r w:rsidRPr="00E24DA5">
        <w:rPr>
          <w:rFonts w:eastAsia="MS PGothic"/>
          <w:color w:val="000000"/>
          <w:szCs w:val="32"/>
        </w:rPr>
        <w:t xml:space="preserve">. increased bone mass). </w:t>
      </w:r>
    </w:p>
    <w:p w:rsidR="00C839E2" w:rsidRDefault="00C839E2" w:rsidP="00E24DA5">
      <w:pPr>
        <w:jc w:val="both"/>
        <w:rPr>
          <w:rFonts w:eastAsia="MS PGothic"/>
          <w:color w:val="000000"/>
          <w:szCs w:val="32"/>
        </w:rPr>
      </w:pPr>
    </w:p>
    <w:p w:rsidR="00C839E2" w:rsidRDefault="00C839E2" w:rsidP="00E24DA5">
      <w:pPr>
        <w:jc w:val="both"/>
        <w:rPr>
          <w:rFonts w:eastAsia="MS PGothic"/>
          <w:color w:val="000000"/>
          <w:szCs w:val="32"/>
        </w:rPr>
      </w:pPr>
      <w:r w:rsidRPr="0079667B">
        <w:rPr>
          <w:rFonts w:eastAsia="MS PGothic"/>
          <w:color w:val="000000"/>
          <w:szCs w:val="32"/>
        </w:rPr>
        <w:t xml:space="preserve">Probiotic bacteria are defined as live microorganisms which when administered in adequate amounts confer a health benefit on the host by altering the composition of the GM. Recent studies on probiotics have shown its association in enhancing diverse health benefits and suppressing diseases. Different studies have recently shown that various strains of bacteria have immense potential in regulating bone health. Taking cue from these studies we selected </w:t>
      </w:r>
      <w:r w:rsidR="009545F2">
        <w:rPr>
          <w:rFonts w:eastAsia="MS PGothic"/>
          <w:color w:val="000000"/>
          <w:szCs w:val="32"/>
        </w:rPr>
        <w:t>various novel probiotics</w:t>
      </w:r>
      <w:r w:rsidRPr="0079667B">
        <w:rPr>
          <w:rFonts w:eastAsia="MS PGothic"/>
          <w:color w:val="000000"/>
          <w:szCs w:val="32"/>
        </w:rPr>
        <w:t xml:space="preserve"> strain for studying its effect on bone health in ovariectomy (ovx) induced osteoporotic mice model. </w:t>
      </w:r>
      <w:r w:rsidRPr="00E24DA5">
        <w:rPr>
          <w:rFonts w:eastAsia="MS PGothic"/>
          <w:color w:val="000000"/>
          <w:szCs w:val="32"/>
        </w:rPr>
        <w:t>Exciting initial results in our lab using various cutting edge technologies of</w:t>
      </w:r>
      <w:r w:rsidR="009545F2">
        <w:rPr>
          <w:rFonts w:eastAsia="MS PGothic"/>
          <w:color w:val="000000"/>
          <w:szCs w:val="32"/>
        </w:rPr>
        <w:t xml:space="preserve"> Scanning Electron Microscopy,</w:t>
      </w:r>
      <w:r w:rsidRPr="00E24DA5">
        <w:rPr>
          <w:rFonts w:eastAsia="MS PGothic"/>
          <w:color w:val="000000"/>
          <w:szCs w:val="32"/>
        </w:rPr>
        <w:t xml:space="preserve"> Atomic Force Microscopy, micro-CT, FTIR</w:t>
      </w:r>
      <w:r w:rsidR="009545F2">
        <w:rPr>
          <w:rFonts w:eastAsia="MS PGothic"/>
          <w:color w:val="000000"/>
          <w:szCs w:val="32"/>
        </w:rPr>
        <w:t>,</w:t>
      </w:r>
      <w:r w:rsidRPr="00E24DA5">
        <w:rPr>
          <w:rFonts w:eastAsia="MS PGothic"/>
          <w:color w:val="000000"/>
          <w:szCs w:val="32"/>
        </w:rPr>
        <w:t xml:space="preserve"> </w:t>
      </w:r>
      <w:r w:rsidR="009545F2" w:rsidRPr="00E24DA5">
        <w:rPr>
          <w:rFonts w:eastAsia="MS PGothic"/>
          <w:color w:val="000000"/>
          <w:szCs w:val="32"/>
        </w:rPr>
        <w:t>Flow Cytometry</w:t>
      </w:r>
      <w:r w:rsidR="009545F2" w:rsidRPr="00E24DA5">
        <w:rPr>
          <w:rFonts w:eastAsia="MS PGothic"/>
          <w:color w:val="000000"/>
          <w:szCs w:val="32"/>
        </w:rPr>
        <w:t xml:space="preserve"> </w:t>
      </w:r>
      <w:r w:rsidRPr="00E24DA5">
        <w:rPr>
          <w:rFonts w:eastAsia="MS PGothic"/>
          <w:color w:val="000000"/>
          <w:szCs w:val="32"/>
        </w:rPr>
        <w:t xml:space="preserve">and molecular biology analysis had suggested a strong positive interaction between the GM + Immune system + bone System (= Osteo-microbiology). </w:t>
      </w:r>
      <w:r w:rsidRPr="0079667B">
        <w:rPr>
          <w:rFonts w:eastAsia="MS PGothic"/>
          <w:color w:val="000000"/>
          <w:szCs w:val="32"/>
        </w:rPr>
        <w:t xml:space="preserve">Interestingly it was observed that administration of L. acidophilus protected ovx-induced bone loss by enhancing bone mass, which was confirmed by SEM, AFM and µCT analysis of bone samples. Also, the bone content of probiotic treated group was significantly higher in trabecular as well as in cortical regions of the bones samples as compared with control group. </w:t>
      </w:r>
    </w:p>
    <w:p w:rsidR="00C839E2" w:rsidRDefault="00C839E2" w:rsidP="00E24DA5">
      <w:pPr>
        <w:jc w:val="both"/>
        <w:rPr>
          <w:rFonts w:eastAsia="MS PGothic"/>
          <w:color w:val="000000"/>
          <w:szCs w:val="32"/>
        </w:rPr>
      </w:pPr>
    </w:p>
    <w:p w:rsidR="00E24DA5" w:rsidRPr="00E24DA5" w:rsidRDefault="00C839E2" w:rsidP="00E24DA5">
      <w:pPr>
        <w:jc w:val="both"/>
        <w:rPr>
          <w:rFonts w:eastAsia="MS PGothic"/>
          <w:color w:val="000000"/>
          <w:szCs w:val="32"/>
        </w:rPr>
      </w:pPr>
      <w:r w:rsidRPr="0079667B">
        <w:rPr>
          <w:rFonts w:eastAsia="MS PGothic"/>
          <w:color w:val="000000"/>
          <w:szCs w:val="32"/>
        </w:rPr>
        <w:t xml:space="preserve">Our results for the first time demonstrate that </w:t>
      </w:r>
      <w:r w:rsidR="009545F2">
        <w:rPr>
          <w:rFonts w:eastAsia="MS PGothic"/>
          <w:color w:val="000000"/>
          <w:szCs w:val="32"/>
        </w:rPr>
        <w:t>probiotics inhibit</w:t>
      </w:r>
      <w:r w:rsidRPr="0079667B">
        <w:rPr>
          <w:rFonts w:eastAsia="MS PGothic"/>
          <w:color w:val="000000"/>
          <w:szCs w:val="32"/>
        </w:rPr>
        <w:t xml:space="preserve"> ovx-induced post-menopausal osteoporosis in mice by regulating the number of CD4</w:t>
      </w:r>
      <w:r w:rsidRPr="009545F2">
        <w:rPr>
          <w:rFonts w:eastAsia="MS PGothic"/>
          <w:color w:val="000000"/>
          <w:szCs w:val="32"/>
          <w:vertAlign w:val="superscript"/>
        </w:rPr>
        <w:t>+</w:t>
      </w:r>
      <w:r w:rsidRPr="0079667B">
        <w:rPr>
          <w:rFonts w:eastAsia="MS PGothic"/>
          <w:color w:val="000000"/>
          <w:szCs w:val="32"/>
        </w:rPr>
        <w:t>, CD8</w:t>
      </w:r>
      <w:r w:rsidRPr="009545F2">
        <w:rPr>
          <w:rFonts w:eastAsia="MS PGothic"/>
          <w:color w:val="000000"/>
          <w:szCs w:val="32"/>
          <w:vertAlign w:val="superscript"/>
        </w:rPr>
        <w:t>+</w:t>
      </w:r>
      <w:r w:rsidRPr="0079667B">
        <w:rPr>
          <w:rFonts w:eastAsia="MS PGothic"/>
          <w:color w:val="000000"/>
          <w:szCs w:val="32"/>
        </w:rPr>
        <w:t xml:space="preserve"> T cells and B cells in both the primary and secondary lymphoid tissues. Most importantly it reduces the number of CD4</w:t>
      </w:r>
      <w:r w:rsidRPr="009545F2">
        <w:rPr>
          <w:rFonts w:eastAsia="MS PGothic"/>
          <w:color w:val="000000"/>
          <w:szCs w:val="32"/>
          <w:vertAlign w:val="superscript"/>
        </w:rPr>
        <w:t>+</w:t>
      </w:r>
      <w:r w:rsidRPr="0079667B">
        <w:rPr>
          <w:rFonts w:eastAsia="MS PGothic"/>
          <w:color w:val="000000"/>
          <w:szCs w:val="32"/>
        </w:rPr>
        <w:t xml:space="preserve"> T cells </w:t>
      </w:r>
      <w:r w:rsidRPr="0079667B">
        <w:rPr>
          <w:rFonts w:eastAsia="MS PGothic"/>
          <w:color w:val="000000"/>
          <w:szCs w:val="32"/>
        </w:rPr>
        <w:lastRenderedPageBreak/>
        <w:t xml:space="preserve">in the BM, which is the prime site for the generation of osteoclastogenic precursor cells (monocytes). </w:t>
      </w:r>
      <w:r w:rsidRPr="00E24DA5">
        <w:rPr>
          <w:rFonts w:eastAsia="MS PGothic"/>
          <w:color w:val="000000"/>
          <w:szCs w:val="32"/>
        </w:rPr>
        <w:t>Thus, we propose for the first time that the inhibitory effect of various probiotics on bone mass is mainly mediated via its effects on the CD4</w:t>
      </w:r>
      <w:r w:rsidRPr="009545F2">
        <w:rPr>
          <w:rFonts w:eastAsia="MS PGothic"/>
          <w:color w:val="000000"/>
          <w:szCs w:val="32"/>
          <w:vertAlign w:val="superscript"/>
        </w:rPr>
        <w:t>+</w:t>
      </w:r>
      <w:r w:rsidRPr="00E24DA5">
        <w:rPr>
          <w:rFonts w:eastAsia="MS PGothic"/>
          <w:color w:val="000000"/>
          <w:szCs w:val="32"/>
        </w:rPr>
        <w:t xml:space="preserve"> (Th17 &amp; Treg), CD8</w:t>
      </w:r>
      <w:r w:rsidRPr="009545F2">
        <w:rPr>
          <w:rFonts w:eastAsia="MS PGothic"/>
          <w:color w:val="000000"/>
          <w:szCs w:val="32"/>
          <w:vertAlign w:val="superscript"/>
        </w:rPr>
        <w:t>+</w:t>
      </w:r>
      <w:r w:rsidRPr="00E24DA5">
        <w:rPr>
          <w:rFonts w:eastAsia="MS PGothic"/>
          <w:color w:val="000000"/>
          <w:szCs w:val="32"/>
        </w:rPr>
        <w:t xml:space="preserve"> T cells and B cells, which in turn regulates bone remodeling (Osteoimmunology) thus validating the use of novel probiotics as possible novel therapeutics in treatment of osteoporosis, RA and various other inflammatory diseases</w:t>
      </w:r>
      <w:r>
        <w:rPr>
          <w:rFonts w:eastAsia="MS PGothic"/>
          <w:color w:val="000000"/>
          <w:szCs w:val="32"/>
        </w:rPr>
        <w:t xml:space="preserve">. </w:t>
      </w:r>
    </w:p>
    <w:p w:rsidR="00C839E2" w:rsidRDefault="00C839E2" w:rsidP="00E24DA5">
      <w:pPr>
        <w:jc w:val="both"/>
        <w:rPr>
          <w:rFonts w:eastAsia="MS PGothic"/>
          <w:color w:val="000000"/>
          <w:szCs w:val="32"/>
        </w:rPr>
      </w:pPr>
    </w:p>
    <w:p w:rsidR="0079667B" w:rsidRDefault="0079667B" w:rsidP="00363668">
      <w:pPr>
        <w:jc w:val="both"/>
        <w:rPr>
          <w:b/>
        </w:rPr>
      </w:pPr>
    </w:p>
    <w:p w:rsidR="00B8710A" w:rsidRDefault="00B8710A" w:rsidP="00363668">
      <w:pPr>
        <w:jc w:val="both"/>
        <w:rPr>
          <w:b/>
        </w:rPr>
      </w:pPr>
      <w:r w:rsidRPr="00732C88">
        <w:rPr>
          <w:b/>
        </w:rPr>
        <w:t>Biography</w:t>
      </w:r>
    </w:p>
    <w:p w:rsidR="00CE6677" w:rsidRDefault="00CE6677" w:rsidP="00363668">
      <w:pPr>
        <w:jc w:val="both"/>
        <w:rPr>
          <w:b/>
        </w:rPr>
      </w:pPr>
    </w:p>
    <w:p w:rsidR="009545F2" w:rsidRDefault="009545F2" w:rsidP="007D233A">
      <w:pPr>
        <w:jc w:val="both"/>
      </w:pPr>
      <w:r>
        <w:t xml:space="preserve">Dr. Rupesh has completed his PhD at the age of 29 years from the most prestigious institute (National Centre for Cell Science-NCCS, Pune) </w:t>
      </w:r>
      <w:r w:rsidR="00CC1109">
        <w:t>in</w:t>
      </w:r>
      <w:r>
        <w:t xml:space="preserve"> India.</w:t>
      </w:r>
      <w:r w:rsidRPr="009545F2">
        <w:t xml:space="preserve"> </w:t>
      </w:r>
      <w:r>
        <w:t>He had his</w:t>
      </w:r>
      <w:r w:rsidRPr="009545F2">
        <w:t xml:space="preserve"> </w:t>
      </w:r>
      <w:r>
        <w:t>post-doctoral trainings from</w:t>
      </w:r>
      <w:r w:rsidRPr="009545F2">
        <w:t xml:space="preserve"> Columbia University Medical Center (CUMC), New York, USA and Roswell Park Cancer Institute (RPCI), New York, USA.</w:t>
      </w:r>
      <w:r w:rsidR="00CC1109">
        <w:t xml:space="preserve"> He is currently </w:t>
      </w:r>
      <w:r w:rsidRPr="009545F2">
        <w:t xml:space="preserve">an Assistant Professor in a federally funded University in India (Dr. Harisingh Gour Central University, Sagar-MP). </w:t>
      </w:r>
      <w:r w:rsidR="00CC1109">
        <w:t>He has published more than 20</w:t>
      </w:r>
      <w:r w:rsidR="00CC1109">
        <w:t xml:space="preserve"> papers in reputed journals and has been serving as an editorial board member of </w:t>
      </w:r>
      <w:r w:rsidR="00CC1109">
        <w:t>various journals of repute.</w:t>
      </w:r>
      <w:r w:rsidR="00CC1109" w:rsidRPr="009545F2">
        <w:t xml:space="preserve"> </w:t>
      </w:r>
      <w:r w:rsidR="00CC1109">
        <w:t xml:space="preserve">He is recipient of the prestigious “Dr. G. P. </w:t>
      </w:r>
      <w:proofErr w:type="spellStart"/>
      <w:r w:rsidR="00CC1109">
        <w:t>Talwar</w:t>
      </w:r>
      <w:proofErr w:type="spellEnd"/>
      <w:r w:rsidR="00CC1109">
        <w:t xml:space="preserve"> Young Scientist” award from the Indian Immunology Society. Dr. Rupesh is </w:t>
      </w:r>
      <w:r w:rsidR="00D76837">
        <w:t xml:space="preserve">also </w:t>
      </w:r>
      <w:r w:rsidR="00CC1109">
        <w:t>a Gold Medalist during his post graduate studies. He received various fellowships and award for his academic accomplishments throughout his career.</w:t>
      </w:r>
      <w:r w:rsidR="00D76837">
        <w:t xml:space="preserve"> </w:t>
      </w:r>
      <w:r w:rsidR="00CC1109">
        <w:t>Dr. Rupesh is a pioneer researcher in</w:t>
      </w:r>
      <w:r w:rsidRPr="009545F2">
        <w:t xml:space="preserve"> th</w:t>
      </w:r>
      <w:r w:rsidR="00CC1109">
        <w:t>e</w:t>
      </w:r>
      <w:r w:rsidRPr="009545F2">
        <w:t xml:space="preserve"> </w:t>
      </w:r>
      <w:r w:rsidR="00CC1109">
        <w:t>novel</w:t>
      </w:r>
      <w:r w:rsidRPr="009545F2">
        <w:t xml:space="preserve"> field </w:t>
      </w:r>
      <w:r w:rsidR="00CC1109">
        <w:t xml:space="preserve">of “Osteo-microbiology”, </w:t>
      </w:r>
      <w:r w:rsidRPr="009545F2">
        <w:t xml:space="preserve">which is still in its very naive state. One of </w:t>
      </w:r>
      <w:r w:rsidR="00CC1109">
        <w:t>his</w:t>
      </w:r>
      <w:r w:rsidRPr="009545F2">
        <w:t xml:space="preserve"> active areas of research focus is on </w:t>
      </w:r>
      <w:r w:rsidR="00CC1109">
        <w:t xml:space="preserve">deciphering the </w:t>
      </w:r>
      <w:r w:rsidRPr="009545F2">
        <w:t xml:space="preserve">cellular and molecular interactions between the </w:t>
      </w:r>
      <w:r w:rsidR="00CC1109">
        <w:t xml:space="preserve">Gut Microbiota-Host </w:t>
      </w:r>
      <w:r w:rsidRPr="009545F2">
        <w:t>Immune</w:t>
      </w:r>
      <w:r w:rsidR="00CC1109">
        <w:t xml:space="preserve"> </w:t>
      </w:r>
      <w:r w:rsidR="00D76837">
        <w:t>System</w:t>
      </w:r>
      <w:r w:rsidR="00CC1109">
        <w:t>-</w:t>
      </w:r>
      <w:r w:rsidRPr="009545F2">
        <w:t xml:space="preserve">Bone systems </w:t>
      </w:r>
      <w:r w:rsidR="00CC1109">
        <w:t>(</w:t>
      </w:r>
      <w:r w:rsidRPr="009545F2">
        <w:t>“Osteo-</w:t>
      </w:r>
      <w:r w:rsidR="00CC1109">
        <w:t>microbiology</w:t>
      </w:r>
      <w:r w:rsidRPr="009545F2">
        <w:t>”</w:t>
      </w:r>
      <w:r w:rsidR="00CC1109">
        <w:t>).</w:t>
      </w:r>
    </w:p>
    <w:p w:rsidR="009545F2" w:rsidRDefault="009545F2" w:rsidP="007D233A">
      <w:pPr>
        <w:jc w:val="both"/>
      </w:pPr>
    </w:p>
    <w:p w:rsidR="007D233A" w:rsidRDefault="007D233A" w:rsidP="007D233A"/>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4C9C"/>
    <w:rsid w:val="000D6718"/>
    <w:rsid w:val="001B06AE"/>
    <w:rsid w:val="00265E72"/>
    <w:rsid w:val="002728A2"/>
    <w:rsid w:val="002C359D"/>
    <w:rsid w:val="002C3D9B"/>
    <w:rsid w:val="002D207F"/>
    <w:rsid w:val="002E6608"/>
    <w:rsid w:val="0031455A"/>
    <w:rsid w:val="00363668"/>
    <w:rsid w:val="00384441"/>
    <w:rsid w:val="003A3C5A"/>
    <w:rsid w:val="00437503"/>
    <w:rsid w:val="00441F91"/>
    <w:rsid w:val="004E62DD"/>
    <w:rsid w:val="004F0441"/>
    <w:rsid w:val="005B4B32"/>
    <w:rsid w:val="006359FA"/>
    <w:rsid w:val="00654259"/>
    <w:rsid w:val="007341F9"/>
    <w:rsid w:val="0078229D"/>
    <w:rsid w:val="0079667B"/>
    <w:rsid w:val="007B0D32"/>
    <w:rsid w:val="007D00E7"/>
    <w:rsid w:val="007D233A"/>
    <w:rsid w:val="007D5AD0"/>
    <w:rsid w:val="007D65C7"/>
    <w:rsid w:val="008747F9"/>
    <w:rsid w:val="008E2F78"/>
    <w:rsid w:val="008E737B"/>
    <w:rsid w:val="00912F54"/>
    <w:rsid w:val="009545F2"/>
    <w:rsid w:val="00984758"/>
    <w:rsid w:val="009B56EC"/>
    <w:rsid w:val="009E52D9"/>
    <w:rsid w:val="00A4183E"/>
    <w:rsid w:val="00A50C1E"/>
    <w:rsid w:val="00A67093"/>
    <w:rsid w:val="00AA5A30"/>
    <w:rsid w:val="00AC5543"/>
    <w:rsid w:val="00AD5DA1"/>
    <w:rsid w:val="00AF61EB"/>
    <w:rsid w:val="00B03DB8"/>
    <w:rsid w:val="00B17C38"/>
    <w:rsid w:val="00B44878"/>
    <w:rsid w:val="00B521DB"/>
    <w:rsid w:val="00B8710A"/>
    <w:rsid w:val="00BA2068"/>
    <w:rsid w:val="00BE06C0"/>
    <w:rsid w:val="00C07C5B"/>
    <w:rsid w:val="00C578FF"/>
    <w:rsid w:val="00C828BF"/>
    <w:rsid w:val="00C839E2"/>
    <w:rsid w:val="00CC1109"/>
    <w:rsid w:val="00CE6677"/>
    <w:rsid w:val="00D46A2B"/>
    <w:rsid w:val="00D605F8"/>
    <w:rsid w:val="00D734FE"/>
    <w:rsid w:val="00D76837"/>
    <w:rsid w:val="00D841B1"/>
    <w:rsid w:val="00DC433A"/>
    <w:rsid w:val="00E24DA5"/>
    <w:rsid w:val="00E44BE0"/>
    <w:rsid w:val="00E63452"/>
    <w:rsid w:val="00E75FDE"/>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B6A40"/>
  <w15:docId w15:val="{C7B6C2DB-80A0-4422-ACDF-B6EA768CC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823393">
      <w:bodyDiv w:val="1"/>
      <w:marLeft w:val="0"/>
      <w:marRight w:val="0"/>
      <w:marTop w:val="0"/>
      <w:marBottom w:val="0"/>
      <w:divBdr>
        <w:top w:val="none" w:sz="0" w:space="0" w:color="auto"/>
        <w:left w:val="none" w:sz="0" w:space="0" w:color="auto"/>
        <w:bottom w:val="none" w:sz="0" w:space="0" w:color="auto"/>
        <w:right w:val="none" w:sz="0" w:space="0" w:color="auto"/>
      </w:divBdr>
      <w:divsChild>
        <w:div w:id="12069919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600</Words>
  <Characters>3421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Rupesh</cp:lastModifiedBy>
  <cp:revision>9</cp:revision>
  <dcterms:created xsi:type="dcterms:W3CDTF">2017-05-15T09:38:00Z</dcterms:created>
  <dcterms:modified xsi:type="dcterms:W3CDTF">2017-05-15T10:39:00Z</dcterms:modified>
</cp:coreProperties>
</file>