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E7E" w:rsidRPr="00AD0E7E" w:rsidRDefault="00AD0E7E" w:rsidP="00AD0E7E">
      <w:pPr>
        <w:pBdr>
          <w:bottom w:val="single" w:sz="6" w:space="1" w:color="auto"/>
        </w:pBdr>
        <w:spacing w:after="200" w:line="276" w:lineRule="auto"/>
        <w:rPr>
          <w:rFonts w:ascii="Calibri" w:eastAsia="Calibri" w:hAnsi="Calibri" w:cs="Times New Roman"/>
          <w:lang w:val="en-US"/>
        </w:rPr>
      </w:pPr>
    </w:p>
    <w:p w:rsidR="00AD0E7E" w:rsidRPr="00AD0E7E" w:rsidRDefault="00AD0E7E" w:rsidP="00AD0E7E">
      <w:pPr>
        <w:spacing w:after="0" w:line="240" w:lineRule="auto"/>
        <w:rPr>
          <w:rFonts w:ascii="Minion Pro" w:eastAsia="Times New Roman" w:hAnsi="Minion Pro" w:cs="Times New Roman"/>
          <w:sz w:val="32"/>
          <w:szCs w:val="24"/>
          <w:lang w:val="en-US"/>
        </w:rPr>
      </w:pPr>
      <w:bookmarkStart w:id="0" w:name="_GoBack"/>
      <w:r w:rsidRPr="00AD0E7E">
        <w:rPr>
          <w:rFonts w:ascii="Minion Pro" w:eastAsia="Times New Roman" w:hAnsi="Minion Pro" w:cs="Times New Roman"/>
          <w:b/>
          <w:bCs/>
          <w:color w:val="000000"/>
          <w:sz w:val="36"/>
          <w:szCs w:val="28"/>
          <w:lang w:val="en-US"/>
        </w:rPr>
        <w:t>Butterfly Warrior: An Introspection on the Physical, Mental, Social and Emotional Aspects of Men with Systemic Lupus Erythematosus</w:t>
      </w:r>
    </w:p>
    <w:bookmarkEnd w:id="0"/>
    <w:p w:rsidR="00AD0E7E" w:rsidRPr="00AD0E7E" w:rsidRDefault="00AD0E7E" w:rsidP="00AD0E7E">
      <w:pPr>
        <w:spacing w:after="0" w:line="240" w:lineRule="auto"/>
        <w:rPr>
          <w:rFonts w:ascii="Arial" w:eastAsia="Times New Roman" w:hAnsi="Arial" w:cs="Arial"/>
          <w:sz w:val="20"/>
          <w:szCs w:val="24"/>
          <w:lang w:val="en-US"/>
        </w:rPr>
      </w:pPr>
      <w:r w:rsidRPr="00AD0E7E">
        <w:rPr>
          <w:rFonts w:ascii="Arial" w:eastAsia="Times New Roman" w:hAnsi="Arial" w:cs="Arial"/>
          <w:color w:val="000000"/>
          <w:sz w:val="20"/>
          <w:szCs w:val="24"/>
          <w:lang w:val="en-US"/>
        </w:rPr>
        <w:t xml:space="preserve">Lyanne Iris G. Erlano, </w:t>
      </w:r>
      <w:r w:rsidRPr="00AD0E7E">
        <w:rPr>
          <w:rFonts w:ascii="Arial" w:eastAsia="Times New Roman" w:hAnsi="Arial" w:cs="Arial"/>
          <w:iCs/>
          <w:color w:val="000000"/>
          <w:sz w:val="20"/>
          <w:szCs w:val="24"/>
          <w:lang w:val="en-US"/>
        </w:rPr>
        <w:t>Manila Science High School, Philippines</w:t>
      </w:r>
    </w:p>
    <w:p w:rsidR="00AD0E7E" w:rsidRPr="00AD0E7E" w:rsidRDefault="00AD0E7E" w:rsidP="00AD0E7E">
      <w:pPr>
        <w:spacing w:after="0" w:line="240" w:lineRule="auto"/>
        <w:rPr>
          <w:rFonts w:ascii="Arial" w:eastAsia="Times New Roman" w:hAnsi="Arial" w:cs="Arial"/>
          <w:color w:val="000000"/>
          <w:sz w:val="20"/>
          <w:szCs w:val="24"/>
          <w:lang w:val="en-US"/>
        </w:rPr>
      </w:pPr>
      <w:r w:rsidRPr="00AD0E7E">
        <w:rPr>
          <w:rFonts w:ascii="Arial" w:eastAsia="Times New Roman" w:hAnsi="Arial" w:cs="Arial"/>
          <w:color w:val="000000"/>
          <w:sz w:val="20"/>
          <w:szCs w:val="24"/>
          <w:lang w:val="en-US"/>
        </w:rPr>
        <w:t>Aldrin Mitchell B. Macatangay,</w:t>
      </w:r>
      <w:r w:rsidRPr="00AD0E7E">
        <w:rPr>
          <w:rFonts w:ascii="Arial" w:eastAsia="Times New Roman" w:hAnsi="Arial" w:cs="Arial"/>
          <w:iCs/>
          <w:color w:val="000000"/>
          <w:sz w:val="20"/>
          <w:szCs w:val="24"/>
          <w:lang w:val="en-US"/>
        </w:rPr>
        <w:t xml:space="preserve"> Manila Science High School, Philippines</w:t>
      </w:r>
    </w:p>
    <w:p w:rsidR="00AD0E7E" w:rsidRPr="00AD0E7E" w:rsidRDefault="00AD0E7E" w:rsidP="00AD0E7E">
      <w:pPr>
        <w:spacing w:after="0" w:line="240" w:lineRule="auto"/>
        <w:rPr>
          <w:rFonts w:ascii="Arial" w:eastAsia="Times New Roman" w:hAnsi="Arial" w:cs="Arial"/>
          <w:color w:val="000000"/>
          <w:sz w:val="20"/>
          <w:szCs w:val="24"/>
          <w:lang w:val="en-US"/>
        </w:rPr>
      </w:pPr>
      <w:r w:rsidRPr="00AD0E7E">
        <w:rPr>
          <w:rFonts w:ascii="Arial" w:eastAsia="Times New Roman" w:hAnsi="Arial" w:cs="Arial"/>
          <w:color w:val="000000"/>
          <w:sz w:val="20"/>
          <w:szCs w:val="24"/>
          <w:lang w:val="en-US"/>
        </w:rPr>
        <w:t>Lira Kale S. Pajarillo,</w:t>
      </w:r>
      <w:r w:rsidRPr="00AD0E7E">
        <w:rPr>
          <w:rFonts w:ascii="Arial" w:eastAsia="Times New Roman" w:hAnsi="Arial" w:cs="Arial"/>
          <w:iCs/>
          <w:color w:val="000000"/>
          <w:sz w:val="20"/>
          <w:szCs w:val="24"/>
          <w:lang w:val="en-US"/>
        </w:rPr>
        <w:t xml:space="preserve"> Manila Science High School, Philippines</w:t>
      </w:r>
    </w:p>
    <w:p w:rsidR="00AD0E7E" w:rsidRPr="00AD0E7E" w:rsidRDefault="00AD0E7E" w:rsidP="00AD0E7E">
      <w:pPr>
        <w:spacing w:after="0" w:line="240" w:lineRule="auto"/>
        <w:rPr>
          <w:rFonts w:ascii="Arial" w:eastAsia="Times New Roman" w:hAnsi="Arial" w:cs="Arial"/>
          <w:sz w:val="20"/>
          <w:szCs w:val="24"/>
          <w:lang w:val="en-US"/>
        </w:rPr>
      </w:pPr>
      <w:r w:rsidRPr="00AD0E7E">
        <w:rPr>
          <w:rFonts w:ascii="Arial" w:eastAsia="Times New Roman" w:hAnsi="Arial" w:cs="Arial"/>
          <w:color w:val="000000"/>
          <w:sz w:val="20"/>
          <w:szCs w:val="24"/>
          <w:lang w:val="en-US"/>
        </w:rPr>
        <w:t>Melanie Andrae M. Seno,</w:t>
      </w:r>
      <w:r w:rsidRPr="00AD0E7E">
        <w:rPr>
          <w:rFonts w:ascii="Arial" w:eastAsia="Times New Roman" w:hAnsi="Arial" w:cs="Arial"/>
          <w:iCs/>
          <w:color w:val="000000"/>
          <w:sz w:val="20"/>
          <w:szCs w:val="24"/>
          <w:lang w:val="en-US"/>
        </w:rPr>
        <w:t xml:space="preserve"> Manila Science High School, Philippines</w:t>
      </w:r>
    </w:p>
    <w:p w:rsidR="00AD0E7E" w:rsidRPr="00AD0E7E" w:rsidRDefault="00AD0E7E" w:rsidP="00AD0E7E">
      <w:pPr>
        <w:pBdr>
          <w:bottom w:val="single" w:sz="6" w:space="1" w:color="auto"/>
        </w:pBdr>
        <w:spacing w:after="200" w:line="276" w:lineRule="auto"/>
        <w:jc w:val="center"/>
        <w:rPr>
          <w:rFonts w:ascii="Times New Roman" w:eastAsia="Times New Roman" w:hAnsi="Times New Roman" w:cs="Times New Roman"/>
          <w:color w:val="000000"/>
          <w:sz w:val="24"/>
          <w:szCs w:val="24"/>
          <w:lang w:val="en-US"/>
        </w:rPr>
      </w:pPr>
    </w:p>
    <w:p w:rsidR="00AD0E7E" w:rsidRDefault="00AD0E7E" w:rsidP="00AD0E7E">
      <w:pPr>
        <w:spacing w:after="0" w:line="240" w:lineRule="auto"/>
        <w:jc w:val="both"/>
        <w:rPr>
          <w:rFonts w:ascii="Times New Roman" w:eastAsia="Times New Roman" w:hAnsi="Times New Roman" w:cs="Times New Roman"/>
          <w:b/>
          <w:bCs/>
          <w:color w:val="000000"/>
          <w:sz w:val="20"/>
          <w:szCs w:val="20"/>
          <w:lang w:val="en-US"/>
        </w:rPr>
        <w:sectPr w:rsidR="00AD0E7E">
          <w:pgSz w:w="12240" w:h="15840"/>
          <w:pgMar w:top="1440" w:right="1440" w:bottom="1440" w:left="1440" w:header="720" w:footer="720" w:gutter="0"/>
          <w:cols w:space="720"/>
          <w:docGrid w:linePitch="360"/>
        </w:sectPr>
      </w:pPr>
    </w:p>
    <w:p w:rsidR="00AD0E7E" w:rsidRPr="00AD0E7E" w:rsidRDefault="00AD0E7E" w:rsidP="00AD0E7E">
      <w:pPr>
        <w:spacing w:after="0" w:line="240" w:lineRule="auto"/>
        <w:jc w:val="both"/>
        <w:rPr>
          <w:rFonts w:ascii="Arial" w:eastAsia="Times New Roman" w:hAnsi="Arial" w:cs="Arial"/>
          <w:b/>
          <w:bCs/>
          <w:color w:val="000000"/>
          <w:sz w:val="20"/>
          <w:szCs w:val="20"/>
          <w:lang w:val="en-US"/>
        </w:rPr>
      </w:pPr>
      <w:r w:rsidRPr="00AD0E7E">
        <w:rPr>
          <w:rFonts w:ascii="Arial" w:eastAsia="Times New Roman" w:hAnsi="Arial" w:cs="Arial"/>
          <w:b/>
          <w:bCs/>
          <w:color w:val="000000"/>
          <w:sz w:val="20"/>
          <w:szCs w:val="20"/>
          <w:lang w:val="en-US"/>
        </w:rPr>
        <w:lastRenderedPageBreak/>
        <w:t>Abstract</w:t>
      </w:r>
    </w:p>
    <w:p w:rsidR="00AD0E7E" w:rsidRPr="00AD0E7E" w:rsidRDefault="00ED2101" w:rsidP="009E6031">
      <w:pPr>
        <w:spacing w:before="240" w:line="240" w:lineRule="auto"/>
        <w:jc w:val="both"/>
        <w:rPr>
          <w:rFonts w:ascii="Tw Cen MT" w:eastAsia="Times New Roman" w:hAnsi="Tw Cen MT" w:cs="Times New Roman"/>
          <w:szCs w:val="21"/>
          <w:lang w:val="en-US"/>
        </w:rPr>
      </w:pPr>
      <w:r>
        <w:rPr>
          <w:rFonts w:ascii="Tw Cen MT" w:eastAsia="Times New Roman" w:hAnsi="Tw Cen MT" w:cs="Times New Roman"/>
          <w:noProof/>
          <w:color w:val="000000"/>
          <w:szCs w:val="21"/>
          <w:lang w:val="en-US"/>
        </w:rPr>
        <w:drawing>
          <wp:anchor distT="0" distB="0" distL="114300" distR="114300" simplePos="0" relativeHeight="251659264" behindDoc="0" locked="0" layoutInCell="1" allowOverlap="1">
            <wp:simplePos x="0" y="0"/>
            <wp:positionH relativeFrom="column">
              <wp:posOffset>3001010</wp:posOffset>
            </wp:positionH>
            <wp:positionV relativeFrom="paragraph">
              <wp:posOffset>90170</wp:posOffset>
            </wp:positionV>
            <wp:extent cx="2819400" cy="2343150"/>
            <wp:effectExtent l="19050" t="0" r="0" b="0"/>
            <wp:wrapThrough wrapText="bothSides">
              <wp:wrapPolygon edited="0">
                <wp:start x="-146" y="0"/>
                <wp:lineTo x="-146" y="21424"/>
                <wp:lineTo x="21600" y="21424"/>
                <wp:lineTo x="21600" y="0"/>
                <wp:lineTo x="-146" y="0"/>
              </wp:wrapPolygon>
            </wp:wrapThrough>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l="26442" t="21937" r="23878" b="8262"/>
                    <a:stretch>
                      <a:fillRect/>
                    </a:stretch>
                  </pic:blipFill>
                  <pic:spPr bwMode="auto">
                    <a:xfrm>
                      <a:off x="0" y="0"/>
                      <a:ext cx="2819400" cy="2343150"/>
                    </a:xfrm>
                    <a:prstGeom prst="rect">
                      <a:avLst/>
                    </a:prstGeom>
                    <a:noFill/>
                    <a:ln w="9525">
                      <a:noFill/>
                      <a:miter lim="800000"/>
                      <a:headEnd/>
                      <a:tailEnd/>
                    </a:ln>
                  </pic:spPr>
                </pic:pic>
              </a:graphicData>
            </a:graphic>
          </wp:anchor>
        </w:drawing>
      </w:r>
      <w:r w:rsidR="00AD0E7E" w:rsidRPr="00AD0E7E">
        <w:rPr>
          <w:rFonts w:ascii="Tw Cen MT" w:eastAsia="Times New Roman" w:hAnsi="Tw Cen MT" w:cs="Times New Roman"/>
          <w:color w:val="000000"/>
          <w:szCs w:val="21"/>
          <w:lang w:val="en-US"/>
        </w:rPr>
        <w:t>Medicine is a field in science that concerns itself to the improvement of an organism’s well-being by having a catena to the field of Healthcare. It is a branch of science which treats diseases and unriddles illnesses which have no available cure like autoimmune diseases, like Lupus. Lupus or Systemic Lupus Erythematosus (SLE) is a disease where the immune system attacks the body’s own cells mistaking it for a foreign aggregate of a person’s body that usually targets the female population. Due to this, many researches of this disease have focused mainly on female Lupus cases, leaving the affected male population with little knowledge about their case and about themselves. As part of the research enterprise, an introspection among the physical, mental, emotional and social aspects of a male lupus patient was done to promulgate information about the accordant aspects of a person’s self and to see any effects of the disease to the manliness of a male Lupus patient. The research was conducted through In-depth interviews and email interviews of one male lupus patient, having open-ended questions as its cornerstone being a case study. Results of the research were accomplished by sense-making, which furthered the knowledge of male lupus patients being physically deduced, mentally polished, emotionally reliant to God and family, socially selective and still relevantly male.</w:t>
      </w:r>
    </w:p>
    <w:p w:rsidR="00AD0E7E" w:rsidRPr="009E6031" w:rsidRDefault="00AD0E7E" w:rsidP="009E6031">
      <w:pPr>
        <w:spacing w:before="240" w:line="240" w:lineRule="auto"/>
        <w:jc w:val="both"/>
        <w:rPr>
          <w:rFonts w:ascii="Tw Cen MT" w:eastAsia="Times New Roman" w:hAnsi="Tw Cen MT" w:cs="Times New Roman"/>
          <w:iCs/>
          <w:color w:val="000000"/>
          <w:sz w:val="20"/>
          <w:szCs w:val="20"/>
          <w:lang w:val="en-US"/>
        </w:rPr>
      </w:pPr>
      <w:r w:rsidRPr="00AD0E7E">
        <w:rPr>
          <w:rFonts w:ascii="Tw Cen MT" w:eastAsia="Times New Roman" w:hAnsi="Tw Cen MT" w:cs="Times New Roman"/>
          <w:i/>
          <w:iCs/>
          <w:color w:val="000000"/>
          <w:sz w:val="20"/>
          <w:szCs w:val="20"/>
          <w:lang w:val="en-US"/>
        </w:rPr>
        <w:t>Keywords:  Systemic Lupus Erythematosus (SLE), Male Lupus Patient, Introspection, Case Study</w:t>
      </w:r>
    </w:p>
    <w:p w:rsidR="00ED2101" w:rsidRDefault="00ED2101" w:rsidP="00AD0E7E">
      <w:pPr>
        <w:spacing w:after="0" w:line="240" w:lineRule="auto"/>
        <w:jc w:val="both"/>
        <w:rPr>
          <w:rFonts w:ascii="Arial" w:eastAsia="Times New Roman" w:hAnsi="Arial" w:cs="Arial"/>
          <w:b/>
          <w:bCs/>
          <w:color w:val="000000"/>
          <w:sz w:val="20"/>
          <w:szCs w:val="20"/>
          <w:lang w:val="en-US"/>
        </w:rPr>
      </w:pPr>
    </w:p>
    <w:p w:rsidR="00ED2101" w:rsidRDefault="00AD0E7E" w:rsidP="00AD0E7E">
      <w:pPr>
        <w:spacing w:after="0" w:line="240" w:lineRule="auto"/>
        <w:jc w:val="both"/>
        <w:rPr>
          <w:rFonts w:ascii="Arial" w:eastAsia="Times New Roman" w:hAnsi="Arial" w:cs="Arial"/>
          <w:b/>
          <w:bCs/>
          <w:color w:val="000000"/>
          <w:sz w:val="20"/>
          <w:szCs w:val="20"/>
          <w:lang w:val="en-US"/>
        </w:rPr>
      </w:pPr>
      <w:r w:rsidRPr="00AD0E7E">
        <w:rPr>
          <w:rFonts w:ascii="Arial" w:eastAsia="Times New Roman" w:hAnsi="Arial" w:cs="Arial"/>
          <w:b/>
          <w:bCs/>
          <w:color w:val="000000"/>
          <w:sz w:val="20"/>
          <w:szCs w:val="20"/>
          <w:lang w:val="en-US"/>
        </w:rPr>
        <w:lastRenderedPageBreak/>
        <w:t>Results and Discussion</w:t>
      </w:r>
    </w:p>
    <w:p w:rsidR="00AD0E7E" w:rsidRPr="00AD0E7E" w:rsidRDefault="00AD0E7E" w:rsidP="00AD0E7E">
      <w:pPr>
        <w:spacing w:after="0" w:line="240" w:lineRule="auto"/>
        <w:jc w:val="both"/>
        <w:rPr>
          <w:rFonts w:ascii="Arial" w:eastAsia="Times New Roman" w:hAnsi="Arial" w:cs="Arial"/>
          <w:b/>
          <w:bCs/>
          <w:color w:val="000000"/>
          <w:sz w:val="20"/>
          <w:szCs w:val="20"/>
          <w:lang w:val="en-US"/>
        </w:rPr>
      </w:pPr>
      <w:r w:rsidRPr="00AD0E7E">
        <w:rPr>
          <w:rFonts w:ascii="Arial" w:eastAsia="Times New Roman" w:hAnsi="Arial" w:cs="Arial"/>
          <w:b/>
          <w:bCs/>
          <w:color w:val="000000"/>
          <w:sz w:val="20"/>
          <w:szCs w:val="20"/>
          <w:lang w:val="en-US"/>
        </w:rPr>
        <w:t>Bibliography</w:t>
      </w:r>
    </w:p>
    <w:p w:rsidR="009E6031" w:rsidRDefault="009E6031" w:rsidP="009E6031">
      <w:pPr>
        <w:spacing w:after="0" w:line="240" w:lineRule="auto"/>
        <w:jc w:val="both"/>
        <w:rPr>
          <w:rFonts w:ascii="Tw Cen MT" w:eastAsia="Calibri" w:hAnsi="Tw Cen MT" w:cs="Times New Roman"/>
          <w:sz w:val="18"/>
        </w:rPr>
      </w:pPr>
    </w:p>
    <w:p w:rsidR="00AD0E7E" w:rsidRPr="00AD0E7E" w:rsidRDefault="00AD0E7E" w:rsidP="009E6031">
      <w:pPr>
        <w:spacing w:after="0" w:line="240" w:lineRule="auto"/>
        <w:jc w:val="both"/>
        <w:rPr>
          <w:rFonts w:ascii="Tw Cen MT" w:eastAsia="Calibri" w:hAnsi="Tw Cen MT" w:cs="Times New Roman"/>
          <w:sz w:val="18"/>
          <w:lang w:val="en-US"/>
        </w:rPr>
      </w:pPr>
      <w:r w:rsidRPr="00AD0E7E">
        <w:rPr>
          <w:rFonts w:ascii="Tw Cen MT" w:eastAsia="Calibri" w:hAnsi="Tw Cen MT" w:cs="Times New Roman"/>
          <w:sz w:val="18"/>
        </w:rPr>
        <w:t xml:space="preserve">Anselm M and Kow, N.Y (2014). </w:t>
      </w:r>
      <w:r w:rsidRPr="00AD0E7E">
        <w:rPr>
          <w:rFonts w:ascii="Tw Cen MT" w:eastAsia="Calibri" w:hAnsi="Tw Cen MT" w:cs="Times New Roman"/>
          <w:b/>
          <w:sz w:val="18"/>
          <w:lang w:val="en-US"/>
        </w:rPr>
        <w:t xml:space="preserve">The Pathology of T Cells in Systemic Lupus Erythematosus. </w:t>
      </w:r>
      <w:r w:rsidRPr="00AD0E7E">
        <w:rPr>
          <w:rFonts w:ascii="Tw Cen MT" w:eastAsia="Calibri" w:hAnsi="Tw Cen MT" w:cs="Times New Roman"/>
          <w:sz w:val="18"/>
          <w:lang w:val="en-US"/>
        </w:rPr>
        <w:t>Hindawi Journal of Immunology Research. Volume 2014. pp: 419029-419037</w:t>
      </w:r>
    </w:p>
    <w:p w:rsidR="00AD0E7E" w:rsidRPr="00AD0E7E" w:rsidRDefault="00AD0E7E" w:rsidP="009E6031">
      <w:pPr>
        <w:spacing w:after="0" w:line="240" w:lineRule="auto"/>
        <w:jc w:val="both"/>
        <w:rPr>
          <w:rFonts w:ascii="Tw Cen MT" w:eastAsia="Calibri" w:hAnsi="Tw Cen MT" w:cs="Times New Roman"/>
          <w:spacing w:val="3"/>
          <w:sz w:val="18"/>
          <w:shd w:val="clear" w:color="auto" w:fill="FFFFFF"/>
          <w:lang w:val="en-US"/>
        </w:rPr>
      </w:pPr>
      <w:r w:rsidRPr="00AD0E7E">
        <w:rPr>
          <w:rFonts w:ascii="Tw Cen MT" w:eastAsia="Calibri" w:hAnsi="Tw Cen MT" w:cs="Times New Roman"/>
          <w:color w:val="000000"/>
          <w:sz w:val="18"/>
          <w:szCs w:val="20"/>
          <w:lang w:val="en-US"/>
        </w:rPr>
        <w:t xml:space="preserve">Anselm M. and Tay, S.H (2014). </w:t>
      </w:r>
      <w:r w:rsidRPr="00AD0E7E">
        <w:rPr>
          <w:rFonts w:ascii="Tw Cen MT" w:eastAsia="Calibri" w:hAnsi="Tw Cen MT" w:cs="Times New Roman"/>
          <w:b/>
          <w:bCs/>
          <w:color w:val="000000"/>
          <w:sz w:val="18"/>
          <w:szCs w:val="20"/>
          <w:lang w:val="en-US"/>
        </w:rPr>
        <w:t xml:space="preserve">Environmental Factors, Toxicants and Systemic Lupus Erythematosus. </w:t>
      </w:r>
      <w:r w:rsidRPr="00AD0E7E">
        <w:rPr>
          <w:rFonts w:ascii="Tw Cen MT" w:eastAsia="Calibri" w:hAnsi="Tw Cen MT" w:cs="Times New Roman"/>
          <w:bCs/>
          <w:color w:val="000000"/>
          <w:sz w:val="18"/>
          <w:szCs w:val="20"/>
          <w:lang w:val="en-US"/>
        </w:rPr>
        <w:t xml:space="preserve">International Journal of Molecular Sciences. Volume 15, Number 9. 2014: pp. </w:t>
      </w:r>
      <w:r w:rsidRPr="00AD0E7E">
        <w:rPr>
          <w:rFonts w:ascii="Tw Cen MT" w:eastAsia="Calibri" w:hAnsi="Tw Cen MT" w:cs="Times New Roman"/>
          <w:spacing w:val="3"/>
          <w:sz w:val="18"/>
          <w:shd w:val="clear" w:color="auto" w:fill="FFFFFF"/>
          <w:lang w:val="en-US"/>
        </w:rPr>
        <w:t>16043-16056</w:t>
      </w:r>
    </w:p>
    <w:p w:rsidR="00AD0E7E" w:rsidRPr="00AD0E7E" w:rsidRDefault="00AD0E7E" w:rsidP="009E6031">
      <w:pPr>
        <w:spacing w:after="0" w:line="240" w:lineRule="auto"/>
        <w:jc w:val="both"/>
        <w:rPr>
          <w:rFonts w:ascii="Tw Cen MT" w:eastAsia="Calibri" w:hAnsi="Tw Cen MT" w:cs="Times New Roman"/>
          <w:color w:val="000000"/>
          <w:sz w:val="18"/>
          <w:szCs w:val="20"/>
          <w:lang w:val="en-US"/>
        </w:rPr>
      </w:pPr>
      <w:r w:rsidRPr="00AD0E7E">
        <w:rPr>
          <w:rFonts w:ascii="Tw Cen MT" w:eastAsia="Calibri" w:hAnsi="Tw Cen MT" w:cs="Times New Roman"/>
          <w:color w:val="000000"/>
          <w:sz w:val="18"/>
          <w:szCs w:val="20"/>
          <w:lang w:val="en-US"/>
        </w:rPr>
        <w:t xml:space="preserve">Avery, Anthony, Creswell, Kathrin, Crowe, Sarah, Huby, Guro, Robertson, Ann and Sheikh, Aziz (2011). </w:t>
      </w:r>
      <w:r w:rsidRPr="00AD0E7E">
        <w:rPr>
          <w:rFonts w:ascii="Tw Cen MT" w:eastAsia="Calibri" w:hAnsi="Tw Cen MT" w:cs="Times New Roman"/>
          <w:b/>
          <w:bCs/>
          <w:color w:val="000000"/>
          <w:sz w:val="18"/>
          <w:szCs w:val="20"/>
          <w:lang w:val="en-US"/>
        </w:rPr>
        <w:t xml:space="preserve">The Case Study Approach. </w:t>
      </w:r>
      <w:r w:rsidRPr="00AD0E7E">
        <w:rPr>
          <w:rFonts w:ascii="Tw Cen MT" w:eastAsia="Calibri" w:hAnsi="Tw Cen MT" w:cs="Times New Roman"/>
          <w:color w:val="000000"/>
          <w:sz w:val="18"/>
          <w:szCs w:val="20"/>
          <w:lang w:val="en-US"/>
        </w:rPr>
        <w:t>BioMed Central: BMC Medical Research Methodology. Volume 11. 2011: p. 100</w:t>
      </w:r>
    </w:p>
    <w:p w:rsidR="009E6031" w:rsidRDefault="00AD0E7E" w:rsidP="009E6031">
      <w:pPr>
        <w:spacing w:after="0" w:line="240" w:lineRule="auto"/>
        <w:jc w:val="both"/>
        <w:rPr>
          <w:rFonts w:ascii="Tw Cen MT" w:eastAsia="Calibri" w:hAnsi="Tw Cen MT" w:cs="Times New Roman"/>
          <w:color w:val="000000"/>
          <w:sz w:val="18"/>
          <w:szCs w:val="20"/>
          <w:lang w:val="en-US"/>
        </w:rPr>
      </w:pPr>
      <w:r w:rsidRPr="00AD0E7E">
        <w:rPr>
          <w:rFonts w:ascii="Tw Cen MT" w:eastAsia="Calibri" w:hAnsi="Tw Cen MT" w:cs="Times New Roman"/>
          <w:color w:val="000000"/>
          <w:sz w:val="18"/>
          <w:szCs w:val="20"/>
          <w:lang w:val="en-US"/>
        </w:rPr>
        <w:t xml:space="preserve">Bogdan, Robert, DeVault, Marjorie And Taylor, Steven (2015). </w:t>
      </w:r>
      <w:r w:rsidRPr="00AD0E7E">
        <w:rPr>
          <w:rFonts w:ascii="Tw Cen MT" w:eastAsia="Calibri" w:hAnsi="Tw Cen MT" w:cs="Times New Roman"/>
          <w:b/>
          <w:bCs/>
          <w:color w:val="000000"/>
          <w:sz w:val="18"/>
          <w:szCs w:val="20"/>
          <w:lang w:val="en-US"/>
        </w:rPr>
        <w:t>Introduction to Qualitative Research Methods: A Guidebook and Resource.</w:t>
      </w:r>
      <w:r w:rsidRPr="00AD0E7E">
        <w:rPr>
          <w:rFonts w:ascii="Tw Cen MT" w:eastAsia="Calibri" w:hAnsi="Tw Cen MT" w:cs="Times New Roman"/>
          <w:color w:val="000000"/>
          <w:sz w:val="18"/>
          <w:szCs w:val="20"/>
          <w:lang w:val="en-US"/>
        </w:rPr>
        <w:t xml:space="preserve"> 2015. Retrieved from Wiley Website.</w:t>
      </w:r>
    </w:p>
    <w:p w:rsidR="009E6031" w:rsidRPr="009E6031" w:rsidRDefault="00AD0E7E" w:rsidP="00AD0E7E">
      <w:pPr>
        <w:spacing w:after="0" w:line="240" w:lineRule="auto"/>
        <w:jc w:val="both"/>
        <w:rPr>
          <w:rFonts w:ascii="Tw Cen MT" w:eastAsia="Times New Roman" w:hAnsi="Tw Cen MT" w:cs="Times New Roman"/>
          <w:iCs/>
          <w:color w:val="000000"/>
          <w:sz w:val="20"/>
          <w:szCs w:val="20"/>
          <w:lang w:val="en-US"/>
        </w:rPr>
        <w:sectPr w:rsidR="009E6031" w:rsidRPr="009E6031" w:rsidSect="00AD0E7E">
          <w:type w:val="continuous"/>
          <w:pgSz w:w="12240" w:h="15840"/>
          <w:pgMar w:top="1440" w:right="1440" w:bottom="1440" w:left="1440" w:header="720" w:footer="720" w:gutter="0"/>
          <w:cols w:num="2" w:space="144"/>
          <w:docGrid w:linePitch="360"/>
        </w:sectPr>
      </w:pPr>
      <w:r w:rsidRPr="00AD0E7E">
        <w:rPr>
          <w:rFonts w:ascii="Tw Cen MT" w:eastAsia="Calibri" w:hAnsi="Tw Cen MT" w:cs="Times New Roman"/>
          <w:color w:val="000000"/>
          <w:sz w:val="18"/>
          <w:szCs w:val="20"/>
          <w:lang w:val="en-US"/>
        </w:rPr>
        <w:t xml:space="preserve">Cho, Judy H. and Gregersen, Peter K (2011). </w:t>
      </w:r>
      <w:r w:rsidRPr="00AD0E7E">
        <w:rPr>
          <w:rFonts w:ascii="Tw Cen MT" w:eastAsia="Calibri" w:hAnsi="Tw Cen MT" w:cs="Times New Roman"/>
          <w:b/>
          <w:bCs/>
          <w:color w:val="000000"/>
          <w:sz w:val="18"/>
          <w:szCs w:val="20"/>
          <w:shd w:val="clear" w:color="auto" w:fill="FFFFFF"/>
          <w:lang w:val="en-US"/>
        </w:rPr>
        <w:t xml:space="preserve">Genomics and the Multifactorial Nature of Human Autoimmune Disease. </w:t>
      </w:r>
      <w:r w:rsidRPr="00AD0E7E">
        <w:rPr>
          <w:rFonts w:ascii="Tw Cen MT" w:eastAsia="Calibri" w:hAnsi="Tw Cen MT" w:cs="Times New Roman"/>
          <w:color w:val="000000"/>
          <w:sz w:val="18"/>
          <w:szCs w:val="20"/>
          <w:shd w:val="clear" w:color="auto" w:fill="FFFFFF"/>
          <w:lang w:val="en-US"/>
        </w:rPr>
        <w:t>The New England Journal of Medicine. Volume 365. 2011: pp. 1612-162</w:t>
      </w:r>
    </w:p>
    <w:p w:rsidR="009E6031" w:rsidRPr="00AD0E7E" w:rsidRDefault="009E6031" w:rsidP="009E6031">
      <w:pPr>
        <w:pBdr>
          <w:bottom w:val="single" w:sz="6" w:space="1" w:color="auto"/>
        </w:pBdr>
        <w:spacing w:after="200" w:line="276" w:lineRule="auto"/>
        <w:rPr>
          <w:rFonts w:ascii="Times New Roman" w:eastAsia="Times New Roman" w:hAnsi="Times New Roman" w:cs="Times New Roman"/>
          <w:color w:val="000000"/>
          <w:sz w:val="24"/>
          <w:szCs w:val="24"/>
          <w:lang w:val="en-US"/>
        </w:rPr>
      </w:pPr>
    </w:p>
    <w:p w:rsidR="00ED2101" w:rsidRPr="00ED2101" w:rsidRDefault="009E6031" w:rsidP="00ED2101">
      <w:pPr>
        <w:spacing w:after="0" w:line="240" w:lineRule="auto"/>
        <w:jc w:val="center"/>
        <w:rPr>
          <w:rFonts w:ascii="Tw Cen MT" w:eastAsia="Times New Roman" w:hAnsi="Tw Cen MT" w:cs="Times New Roman"/>
          <w:sz w:val="20"/>
          <w:szCs w:val="24"/>
          <w:lang w:val="en-US"/>
        </w:rPr>
      </w:pPr>
      <w:r w:rsidRPr="009E6031">
        <w:rPr>
          <w:rFonts w:ascii="Tw Cen MT" w:eastAsia="Times New Roman" w:hAnsi="Tw Cen MT" w:cs="Times New Roman"/>
          <w:color w:val="000000"/>
          <w:sz w:val="20"/>
          <w:szCs w:val="24"/>
          <w:lang w:val="en-US"/>
        </w:rPr>
        <w:t xml:space="preserve">Lyanne Iris G. Erlano, Aldrin Mitchell B. Macatangay, Lira Kale S. Pajarillo and Melanie Andrae M. Seno are all Senior High School students of </w:t>
      </w:r>
      <w:r w:rsidRPr="009E6031">
        <w:rPr>
          <w:rFonts w:ascii="Tw Cen MT" w:eastAsia="Times New Roman" w:hAnsi="Tw Cen MT" w:cs="Times New Roman"/>
          <w:iCs/>
          <w:color w:val="000000"/>
          <w:sz w:val="20"/>
          <w:szCs w:val="24"/>
          <w:lang w:val="en-US"/>
        </w:rPr>
        <w:t>Manila Science High School in the Philippines.</w:t>
      </w:r>
    </w:p>
    <w:p w:rsidR="00E50D0C" w:rsidRDefault="009E6031" w:rsidP="009E6031">
      <w:pPr>
        <w:spacing w:after="0" w:line="240" w:lineRule="auto"/>
        <w:jc w:val="center"/>
      </w:pPr>
      <w:r w:rsidRPr="009E6031">
        <w:rPr>
          <w:rFonts w:ascii="Tw Cen MT" w:eastAsia="Times New Roman" w:hAnsi="Tw Cen MT" w:cs="Times New Roman"/>
          <w:color w:val="000000"/>
          <w:sz w:val="20"/>
          <w:szCs w:val="24"/>
          <w:lang w:val="en-US"/>
        </w:rPr>
        <w:t>iriserlano@gmail.com, drinmacatangay@gmail.com, lirakalep@gmail.com and melanieaseno@gmail.com</w:t>
      </w:r>
    </w:p>
    <w:sectPr w:rsidR="00E50D0C" w:rsidSect="009E6031">
      <w:type w:val="continuous"/>
      <w:pgSz w:w="12240" w:h="15840"/>
      <w:pgMar w:top="1440" w:right="1440" w:bottom="1440" w:left="1440" w:header="720" w:footer="720" w:gutter="0"/>
      <w:cols w:space="144"/>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0E7E"/>
    <w:rsid w:val="006B0707"/>
    <w:rsid w:val="009E6031"/>
    <w:rsid w:val="00AD0E7E"/>
    <w:rsid w:val="00E50D0C"/>
    <w:rsid w:val="00ED21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7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Lyanne</dc:creator>
  <cp:keywords>Systemic Lupus Erythematosus (SLE);Male Lupus Patient;Introspection;Case Study</cp:keywords>
  <dc:description/>
  <cp:lastModifiedBy>Philip John Seno</cp:lastModifiedBy>
  <cp:revision>2</cp:revision>
  <dcterms:created xsi:type="dcterms:W3CDTF">2017-02-19T02:19:00Z</dcterms:created>
  <dcterms:modified xsi:type="dcterms:W3CDTF">2017-02-20T12:46:00Z</dcterms:modified>
</cp:coreProperties>
</file>