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A27F93" w:rsidP="00AF61EB">
      <w:pPr>
        <w:keepNext/>
      </w:pPr>
      <w:r>
        <w:rPr>
          <w:rFonts w:eastAsia="MS PGothic"/>
          <w:b/>
          <w:noProof/>
          <w:color w:val="000000"/>
          <w:sz w:val="28"/>
          <w:szCs w:val="28"/>
          <w:lang w:val="en-AU" w:eastAsia="en-AU"/>
        </w:rPr>
        <mc:AlternateContent>
          <mc:Choice Requires="wps">
            <w:drawing>
              <wp:anchor distT="0" distB="0" distL="114300" distR="114300" simplePos="0" relativeHeight="251657216" behindDoc="0" locked="0" layoutInCell="1" allowOverlap="1">
                <wp:simplePos x="0" y="0"/>
                <wp:positionH relativeFrom="column">
                  <wp:posOffset>3911600</wp:posOffset>
                </wp:positionH>
                <wp:positionV relativeFrom="paragraph">
                  <wp:posOffset>-25400</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27F93">
                            <w:pPr>
                              <w:rPr>
                                <w:lang w:val="en-IN"/>
                              </w:rPr>
                            </w:pPr>
                            <w:r>
                              <w:rPr>
                                <w:noProof/>
                                <w:lang w:val="en-AU" w:eastAsia="en-AU"/>
                              </w:rPr>
                              <w:drawing>
                                <wp:inline distT="0" distB="0" distL="0" distR="0" wp14:anchorId="59C9CE2F" wp14:editId="2DF7CF12">
                                  <wp:extent cx="1354701" cy="1000132"/>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5" cstate="print"/>
                                          <a:srcRect/>
                                          <a:stretch>
                                            <a:fillRect/>
                                          </a:stretch>
                                        </pic:blipFill>
                                        <pic:spPr bwMode="auto">
                                          <a:xfrm>
                                            <a:off x="0" y="0"/>
                                            <a:ext cx="1354701" cy="1000132"/>
                                          </a:xfrm>
                                          <a:prstGeom prst="rect">
                                            <a:avLst/>
                                          </a:prstGeom>
                                          <a:noFill/>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08pt;margin-top:-2pt;width:140.25pt;height:1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" strokecolor="#9bbb59" strokeweight="2.5pt">
                <v:shadow color="#868686"/>
                <v:textbox>
                  <w:txbxContent>
                    <w:p w:rsidR="00AF61EB" w:rsidRDefault="00A27F93">
                      <w:pPr>
                        <w:rPr>
                          <w:lang w:val="en-IN"/>
                        </w:rPr>
                      </w:pPr>
                      <w:r>
                        <w:rPr>
                          <w:noProof/>
                          <w:lang w:val="en-AU" w:eastAsia="en-AU"/>
                        </w:rPr>
                        <w:drawing>
                          <wp:inline distT="0" distB="0" distL="0" distR="0" wp14:anchorId="59C9CE2F" wp14:editId="2DF7CF12">
                            <wp:extent cx="1354701" cy="1000132"/>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5" cstate="print"/>
                                    <a:srcRect/>
                                    <a:stretch>
                                      <a:fillRect/>
                                    </a:stretch>
                                  </pic:blipFill>
                                  <pic:spPr bwMode="auto">
                                    <a:xfrm>
                                      <a:off x="0" y="0"/>
                                      <a:ext cx="1354701" cy="1000132"/>
                                    </a:xfrm>
                                    <a:prstGeom prst="rect">
                                      <a:avLst/>
                                    </a:prstGeom>
                                    <a:noFill/>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sidRPr="00D57224">
        <w:rPr>
          <w:rFonts w:ascii="Calibri" w:eastAsia="Times New Roman" w:hAnsi="Calibri" w:cs="Calibri"/>
          <w:noProof/>
          <w:color w:val="454545"/>
          <w:sz w:val="21"/>
          <w:szCs w:val="21"/>
          <w:lang w:val="en-AU" w:eastAsia="en-AU"/>
        </w:rPr>
        <w:drawing>
          <wp:anchor distT="0" distB="0" distL="114300" distR="114300" simplePos="0" relativeHeight="251659264" behindDoc="0" locked="0" layoutInCell="1" allowOverlap="1" wp14:anchorId="60696CEA" wp14:editId="47843934">
            <wp:simplePos x="0" y="0"/>
            <wp:positionH relativeFrom="column">
              <wp:posOffset>9525</wp:posOffset>
            </wp:positionH>
            <wp:positionV relativeFrom="paragraph">
              <wp:posOffset>12700</wp:posOffset>
            </wp:positionV>
            <wp:extent cx="1143000" cy="1143000"/>
            <wp:effectExtent l="0" t="0" r="0" b="0"/>
            <wp:wrapSquare wrapText="bothSides"/>
            <wp:docPr id="3" name="Picture 3" descr="http://unitedscientificgroup.com/conferences/genemed/images/speakers/Ian-Mart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nitedscientificgroup.com/conferences/genemed/images/speakers/Ian-Martin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anchor>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A27F93" w:rsidRDefault="00A27F93" w:rsidP="00A27F93">
      <w:pPr>
        <w:rPr>
          <w:rFonts w:eastAsia="MS PGothic"/>
          <w:b/>
          <w:color w:val="000000"/>
          <w:sz w:val="28"/>
          <w:szCs w:val="28"/>
        </w:rPr>
      </w:pPr>
    </w:p>
    <w:p w:rsidR="00A27F93" w:rsidRDefault="00A27F93" w:rsidP="00A27F93">
      <w:pPr>
        <w:rPr>
          <w:rFonts w:eastAsia="MS PGothic"/>
          <w:b/>
          <w:color w:val="000000"/>
          <w:sz w:val="28"/>
          <w:szCs w:val="28"/>
        </w:rPr>
      </w:pPr>
    </w:p>
    <w:p w:rsidR="00A27F93" w:rsidRDefault="00A27F93" w:rsidP="00A27F93">
      <w:pPr>
        <w:rPr>
          <w:rFonts w:eastAsia="MS PGothic"/>
          <w:b/>
          <w:color w:val="000000"/>
          <w:sz w:val="28"/>
          <w:szCs w:val="28"/>
        </w:rPr>
      </w:pPr>
    </w:p>
    <w:p w:rsidR="00A27F93" w:rsidRDefault="00A27F93" w:rsidP="00A27F93">
      <w:pPr>
        <w:rPr>
          <w:rFonts w:eastAsia="MS PGothic"/>
          <w:b/>
          <w:color w:val="000000"/>
          <w:sz w:val="28"/>
          <w:szCs w:val="28"/>
        </w:rPr>
      </w:pPr>
    </w:p>
    <w:p w:rsidR="00A27F93" w:rsidRDefault="00A27F93" w:rsidP="00A27F93">
      <w:pPr>
        <w:rPr>
          <w:rFonts w:eastAsia="MS PGothic"/>
          <w:b/>
          <w:color w:val="000000"/>
          <w:sz w:val="28"/>
          <w:szCs w:val="28"/>
        </w:rPr>
      </w:pPr>
    </w:p>
    <w:p w:rsidR="00F72680" w:rsidRDefault="00074C9C" w:rsidP="00F72680">
      <w:pPr>
        <w:rPr>
          <w:rFonts w:eastAsia="MS PGothic"/>
          <w:b/>
          <w:color w:val="000000"/>
          <w:sz w:val="28"/>
          <w:szCs w:val="28"/>
        </w:rPr>
      </w:pPr>
      <w:r w:rsidRPr="00327F9B">
        <w:rPr>
          <w:rFonts w:eastAsia="MS PGothic"/>
          <w:b/>
          <w:color w:val="000000"/>
          <w:sz w:val="28"/>
          <w:szCs w:val="28"/>
        </w:rPr>
        <w:t xml:space="preserve">Title: </w:t>
      </w:r>
      <w:r w:rsidR="00F72680">
        <w:rPr>
          <w:rFonts w:eastAsia="MS PGothic"/>
          <w:b/>
          <w:color w:val="000000"/>
          <w:sz w:val="28"/>
          <w:szCs w:val="28"/>
        </w:rPr>
        <w:t xml:space="preserve">Appetite control is involved in Immunotherapy with relevance to </w:t>
      </w:r>
    </w:p>
    <w:p w:rsidR="00A27F93" w:rsidRDefault="00F72680" w:rsidP="00F72680">
      <w:pPr>
        <w:rPr>
          <w:b/>
        </w:rPr>
      </w:pPr>
      <w:r>
        <w:rPr>
          <w:rFonts w:eastAsia="MS PGothic"/>
          <w:b/>
          <w:color w:val="000000"/>
          <w:sz w:val="28"/>
          <w:szCs w:val="28"/>
        </w:rPr>
        <w:t xml:space="preserve"> </w:t>
      </w:r>
      <w:r>
        <w:rPr>
          <w:rFonts w:eastAsia="MS PGothic"/>
          <w:b/>
          <w:color w:val="000000"/>
          <w:sz w:val="28"/>
          <w:szCs w:val="28"/>
        </w:rPr>
        <w:tab/>
      </w:r>
      <w:r>
        <w:rPr>
          <w:rFonts w:eastAsia="MS PGothic"/>
          <w:b/>
          <w:color w:val="000000"/>
          <w:sz w:val="28"/>
          <w:szCs w:val="28"/>
        </w:rPr>
        <w:tab/>
        <w:t xml:space="preserve">     </w:t>
      </w:r>
      <w:proofErr w:type="gramStart"/>
      <w:r>
        <w:rPr>
          <w:rFonts w:eastAsia="MS PGothic"/>
          <w:b/>
          <w:color w:val="000000"/>
          <w:sz w:val="28"/>
          <w:szCs w:val="28"/>
        </w:rPr>
        <w:t>cardiovascular</w:t>
      </w:r>
      <w:proofErr w:type="gramEnd"/>
      <w:r>
        <w:rPr>
          <w:rFonts w:eastAsia="MS PGothic"/>
          <w:b/>
          <w:color w:val="000000"/>
          <w:sz w:val="28"/>
          <w:szCs w:val="28"/>
        </w:rPr>
        <w:t xml:space="preserve"> disease, NAFLD and Diabetes</w:t>
      </w:r>
    </w:p>
    <w:p w:rsidR="00A27F93" w:rsidRPr="009A5E9F" w:rsidRDefault="00074C9C" w:rsidP="00A27F93">
      <w:pPr>
        <w:ind w:left="2160" w:firstLine="720"/>
        <w:rPr>
          <w:rFonts w:eastAsia="MS PGothic"/>
          <w:color w:val="000000"/>
        </w:rPr>
      </w:pPr>
      <w:r>
        <w:rPr>
          <w:rFonts w:eastAsia="MS PGothic" w:hAnsi="Arial"/>
          <w:color w:val="000000"/>
        </w:rPr>
        <w:br/>
      </w:r>
      <w:r w:rsidR="00A27F93">
        <w:rPr>
          <w:b/>
          <w:sz w:val="28"/>
          <w:szCs w:val="28"/>
        </w:rPr>
        <w:t xml:space="preserve">       </w:t>
      </w:r>
      <w:r w:rsidR="005B4B32" w:rsidRPr="00327F9B">
        <w:rPr>
          <w:rFonts w:eastAsia="MS PGothic" w:hAnsi="Arial"/>
          <w:color w:val="000000"/>
        </w:rPr>
        <w:t xml:space="preserve">Name: </w:t>
      </w:r>
      <w:r w:rsidR="00A27F93" w:rsidRPr="009A5E9F">
        <w:rPr>
          <w:rFonts w:eastAsia="MS PGothic"/>
          <w:color w:val="000000"/>
        </w:rPr>
        <w:t>Ian James Martins</w:t>
      </w:r>
    </w:p>
    <w:p w:rsidR="00A27F93" w:rsidRPr="009A5E9F" w:rsidRDefault="00F72680" w:rsidP="00A27F93">
      <w:pPr>
        <w:rPr>
          <w:rFonts w:eastAsia="MS PGothic"/>
          <w:color w:val="000000"/>
        </w:rPr>
      </w:pPr>
      <w:r>
        <w:rPr>
          <w:rFonts w:eastAsia="MS PGothic" w:hAnsi="Arial"/>
          <w:color w:val="000000"/>
        </w:rPr>
        <w:t xml:space="preserve">                </w:t>
      </w:r>
      <w:bookmarkStart w:id="0" w:name="_GoBack"/>
      <w:bookmarkEnd w:id="0"/>
      <w:r w:rsidR="00A27F93" w:rsidRPr="009A5E9F">
        <w:rPr>
          <w:rFonts w:eastAsia="MS PGothic"/>
          <w:color w:val="000000"/>
        </w:rPr>
        <w:t xml:space="preserve">Edith Cowan University, School of Medicine, </w:t>
      </w:r>
      <w:r w:rsidR="00A27F93">
        <w:rPr>
          <w:rFonts w:eastAsia="MS PGothic"/>
          <w:color w:val="000000"/>
        </w:rPr>
        <w:t xml:space="preserve">WA, </w:t>
      </w:r>
      <w:r w:rsidR="00A27F93" w:rsidRPr="009A5E9F">
        <w:rPr>
          <w:rFonts w:eastAsia="MS PGothic"/>
          <w:color w:val="000000"/>
        </w:rPr>
        <w:t>6027, Australia</w:t>
      </w:r>
    </w:p>
    <w:p w:rsidR="00A27F93" w:rsidRDefault="00A27F93" w:rsidP="00A27F93">
      <w:pPr>
        <w:jc w:val="both"/>
      </w:pPr>
    </w:p>
    <w:p w:rsidR="00A27F93" w:rsidRDefault="002C5AEB" w:rsidP="00A27F93">
      <w:pPr>
        <w:jc w:val="both"/>
      </w:pPr>
      <w:r w:rsidRPr="002C5AEB">
        <w:rPr>
          <w:rFonts w:eastAsia="Calibri"/>
          <w:lang w:val="en-AU" w:eastAsia="en-US"/>
        </w:rPr>
        <w:t xml:space="preserve">Appetite control with relevance to </w:t>
      </w:r>
      <w:proofErr w:type="spellStart"/>
      <w:r w:rsidRPr="002C5AEB">
        <w:rPr>
          <w:rFonts w:eastAsia="Calibri"/>
          <w:lang w:val="en-AU" w:eastAsia="en-US"/>
        </w:rPr>
        <w:t>immunometabolism</w:t>
      </w:r>
      <w:proofErr w:type="spellEnd"/>
      <w:r w:rsidRPr="002C5AEB">
        <w:rPr>
          <w:rFonts w:eastAsia="Calibri"/>
          <w:lang w:val="en-AU" w:eastAsia="en-US"/>
        </w:rPr>
        <w:t xml:space="preserve"> has become critical to the treatment of </w:t>
      </w:r>
      <w:proofErr w:type="spellStart"/>
      <w:r w:rsidRPr="002C5AEB">
        <w:rPr>
          <w:rFonts w:eastAsia="Calibri"/>
          <w:lang w:val="en-AU" w:eastAsia="en-US"/>
        </w:rPr>
        <w:t>non alcoholic</w:t>
      </w:r>
      <w:proofErr w:type="spellEnd"/>
      <w:r w:rsidRPr="002C5AEB">
        <w:rPr>
          <w:rFonts w:eastAsia="Calibri"/>
          <w:lang w:val="en-AU" w:eastAsia="en-US"/>
        </w:rPr>
        <w:t xml:space="preserve"> fatty liver disease (NAFLD) and diabetes (1</w:t>
      </w:r>
      <w:proofErr w:type="gramStart"/>
      <w:r w:rsidRPr="002C5AEB">
        <w:rPr>
          <w:rFonts w:eastAsia="Calibri"/>
          <w:lang w:val="en-AU" w:eastAsia="en-US"/>
        </w:rPr>
        <w:t>,2</w:t>
      </w:r>
      <w:proofErr w:type="gramEnd"/>
      <w:r w:rsidRPr="002C5AEB">
        <w:rPr>
          <w:rFonts w:eastAsia="Calibri"/>
          <w:lang w:val="en-AU" w:eastAsia="en-US"/>
        </w:rPr>
        <w:t>). Anti-aging genes (3</w:t>
      </w:r>
      <w:proofErr w:type="gramStart"/>
      <w:r w:rsidRPr="002C5AEB">
        <w:rPr>
          <w:rFonts w:eastAsia="Calibri"/>
          <w:lang w:val="en-AU" w:eastAsia="en-US"/>
        </w:rPr>
        <w:t>,4</w:t>
      </w:r>
      <w:proofErr w:type="gramEnd"/>
      <w:r w:rsidRPr="002C5AEB">
        <w:rPr>
          <w:rFonts w:eastAsia="Calibri"/>
          <w:lang w:val="en-AU" w:eastAsia="en-US"/>
        </w:rPr>
        <w:t>) and their connections to autoimmune disease</w:t>
      </w:r>
      <w:r>
        <w:rPr>
          <w:rFonts w:eastAsia="Calibri"/>
          <w:lang w:val="en-AU" w:eastAsia="en-US"/>
        </w:rPr>
        <w:t xml:space="preserve"> and</w:t>
      </w:r>
      <w:r w:rsidRPr="002C5AEB">
        <w:rPr>
          <w:rFonts w:eastAsia="Calibri"/>
          <w:lang w:val="en-AU" w:eastAsia="en-US"/>
        </w:rPr>
        <w:t xml:space="preserve"> </w:t>
      </w:r>
      <w:proofErr w:type="spellStart"/>
      <w:r w:rsidRPr="002C5AEB">
        <w:rPr>
          <w:rFonts w:eastAsia="Calibri"/>
          <w:lang w:val="en-AU" w:eastAsia="en-US"/>
        </w:rPr>
        <w:t>mitophagy</w:t>
      </w:r>
      <w:proofErr w:type="spellEnd"/>
      <w:r w:rsidRPr="002C5AEB">
        <w:rPr>
          <w:rFonts w:eastAsia="Calibri"/>
          <w:lang w:val="en-AU" w:eastAsia="en-US"/>
        </w:rPr>
        <w:t xml:space="preserve"> now identify</w:t>
      </w:r>
      <w:r>
        <w:rPr>
          <w:rFonts w:eastAsia="Calibri"/>
          <w:lang w:val="en-AU" w:eastAsia="en-US"/>
        </w:rPr>
        <w:t xml:space="preserve"> the</w:t>
      </w:r>
      <w:r w:rsidRPr="002C5AEB">
        <w:rPr>
          <w:rFonts w:eastAsia="Calibri"/>
          <w:lang w:val="en-AU" w:eastAsia="en-US"/>
        </w:rPr>
        <w:t xml:space="preserve"> anti-aging gene </w:t>
      </w:r>
      <w:proofErr w:type="spellStart"/>
      <w:r w:rsidRPr="002C5AEB">
        <w:rPr>
          <w:rFonts w:eastAsia="Calibri"/>
          <w:lang w:val="en-AU" w:eastAsia="en-US"/>
        </w:rPr>
        <w:t>Sirtuin</w:t>
      </w:r>
      <w:proofErr w:type="spellEnd"/>
      <w:r w:rsidRPr="002C5AEB">
        <w:rPr>
          <w:rFonts w:eastAsia="Calibri"/>
          <w:lang w:val="en-AU" w:eastAsia="en-US"/>
        </w:rPr>
        <w:t xml:space="preserve"> 1 (</w:t>
      </w:r>
      <w:proofErr w:type="spellStart"/>
      <w:r w:rsidRPr="002C5AEB">
        <w:rPr>
          <w:rFonts w:eastAsia="Calibri"/>
          <w:lang w:val="en-AU" w:eastAsia="en-US"/>
        </w:rPr>
        <w:t>Sirt</w:t>
      </w:r>
      <w:proofErr w:type="spellEnd"/>
      <w:r w:rsidRPr="002C5AEB">
        <w:rPr>
          <w:rFonts w:eastAsia="Calibri"/>
          <w:lang w:val="en-AU" w:eastAsia="en-US"/>
        </w:rPr>
        <w:t xml:space="preserve"> 1) to be defective with increased heat shock proteins (HSP)</w:t>
      </w:r>
      <w:r>
        <w:rPr>
          <w:rFonts w:eastAsia="Calibri"/>
          <w:lang w:val="en-AU" w:eastAsia="en-US"/>
        </w:rPr>
        <w:t xml:space="preserve"> </w:t>
      </w:r>
      <w:r w:rsidRPr="002C5AEB">
        <w:rPr>
          <w:rFonts w:eastAsia="Calibri"/>
          <w:lang w:val="en-AU" w:eastAsia="en-US"/>
        </w:rPr>
        <w:t xml:space="preserve">involved in autoimmune disease and </w:t>
      </w:r>
      <w:proofErr w:type="spellStart"/>
      <w:r w:rsidRPr="002C5AEB">
        <w:rPr>
          <w:rFonts w:eastAsia="Calibri"/>
          <w:lang w:val="en-AU" w:eastAsia="en-US"/>
        </w:rPr>
        <w:t>mitophagy</w:t>
      </w:r>
      <w:proofErr w:type="spellEnd"/>
      <w:r w:rsidRPr="002C5AEB">
        <w:rPr>
          <w:rFonts w:eastAsia="Calibri"/>
          <w:lang w:val="en-AU" w:eastAsia="en-US"/>
        </w:rPr>
        <w:t xml:space="preserve"> (</w:t>
      </w:r>
      <w:r>
        <w:rPr>
          <w:rFonts w:eastAsia="Calibri"/>
          <w:lang w:val="en-AU" w:eastAsia="en-US"/>
        </w:rPr>
        <w:t>5</w:t>
      </w:r>
      <w:r w:rsidRPr="002C5AEB">
        <w:rPr>
          <w:rFonts w:eastAsia="Calibri"/>
          <w:lang w:val="en-AU" w:eastAsia="en-US"/>
        </w:rPr>
        <w:t>)</w:t>
      </w:r>
      <w:r>
        <w:rPr>
          <w:rFonts w:eastAsia="Calibri"/>
          <w:lang w:val="en-AU" w:eastAsia="en-US"/>
        </w:rPr>
        <w:t xml:space="preserve"> </w:t>
      </w:r>
      <w:r w:rsidRPr="002C5AEB">
        <w:rPr>
          <w:rFonts w:eastAsia="Calibri"/>
          <w:lang w:val="en-AU" w:eastAsia="en-US"/>
        </w:rPr>
        <w:t xml:space="preserve">connected to irreversible programmed cell death in global populations. Appetite control or food restriction is required to maintain the heat shock gene </w:t>
      </w:r>
      <w:proofErr w:type="spellStart"/>
      <w:r w:rsidRPr="002C5AEB">
        <w:rPr>
          <w:rFonts w:eastAsia="Calibri"/>
          <w:lang w:val="en-AU" w:eastAsia="en-US"/>
        </w:rPr>
        <w:t>Sirt</w:t>
      </w:r>
      <w:proofErr w:type="spellEnd"/>
      <w:r w:rsidRPr="002C5AEB">
        <w:rPr>
          <w:rFonts w:eastAsia="Calibri"/>
          <w:lang w:val="en-AU" w:eastAsia="en-US"/>
        </w:rPr>
        <w:t xml:space="preserve"> 1</w:t>
      </w:r>
      <w:r w:rsidR="00F72680">
        <w:rPr>
          <w:rFonts w:eastAsia="Calibri"/>
          <w:lang w:val="en-AU" w:eastAsia="en-US"/>
        </w:rPr>
        <w:t xml:space="preserve"> (6</w:t>
      </w:r>
      <w:proofErr w:type="gramStart"/>
      <w:r w:rsidR="00F72680">
        <w:rPr>
          <w:rFonts w:eastAsia="Calibri"/>
          <w:lang w:val="en-AU" w:eastAsia="en-US"/>
        </w:rPr>
        <w:t>,7</w:t>
      </w:r>
      <w:proofErr w:type="gramEnd"/>
      <w:r w:rsidR="00F72680">
        <w:rPr>
          <w:rFonts w:eastAsia="Calibri"/>
          <w:lang w:val="en-AU" w:eastAsia="en-US"/>
        </w:rPr>
        <w:t>)</w:t>
      </w:r>
      <w:r w:rsidRPr="002C5AEB">
        <w:rPr>
          <w:rFonts w:eastAsia="Calibri"/>
          <w:lang w:val="en-AU" w:eastAsia="en-US"/>
        </w:rPr>
        <w:t xml:space="preserve"> th</w:t>
      </w:r>
      <w:r w:rsidR="00F72680">
        <w:rPr>
          <w:rFonts w:eastAsia="Calibri"/>
          <w:lang w:val="en-AU" w:eastAsia="en-US"/>
        </w:rPr>
        <w:t>at regulates HSP</w:t>
      </w:r>
      <w:r w:rsidRPr="002C5AEB">
        <w:rPr>
          <w:rFonts w:eastAsia="Calibri"/>
          <w:lang w:val="en-AU" w:eastAsia="en-US"/>
        </w:rPr>
        <w:t xml:space="preserve">, amyloid beta and nitric oxide metabolism that are connected to natural killer cell activity, </w:t>
      </w:r>
      <w:proofErr w:type="spellStart"/>
      <w:r w:rsidRPr="002C5AEB">
        <w:rPr>
          <w:rFonts w:eastAsia="Calibri"/>
          <w:lang w:val="en-AU" w:eastAsia="en-US"/>
        </w:rPr>
        <w:t>mitophagy</w:t>
      </w:r>
      <w:proofErr w:type="spellEnd"/>
      <w:r w:rsidRPr="002C5AEB">
        <w:rPr>
          <w:rFonts w:eastAsia="Calibri"/>
          <w:lang w:val="en-AU" w:eastAsia="en-US"/>
        </w:rPr>
        <w:t xml:space="preserve"> and autoimmune disease in diabetes. Nutritional regulation of </w:t>
      </w:r>
      <w:proofErr w:type="spellStart"/>
      <w:r w:rsidRPr="002C5AEB">
        <w:rPr>
          <w:rFonts w:eastAsia="Calibri"/>
          <w:lang w:val="en-AU" w:eastAsia="en-US"/>
        </w:rPr>
        <w:t>Sirt</w:t>
      </w:r>
      <w:proofErr w:type="spellEnd"/>
      <w:r w:rsidRPr="002C5AEB">
        <w:rPr>
          <w:rFonts w:eastAsia="Calibri"/>
          <w:lang w:val="en-AU" w:eastAsia="en-US"/>
        </w:rPr>
        <w:t xml:space="preserve"> 1 with relevance to antimicrobial activity in humans (</w:t>
      </w:r>
      <w:r w:rsidR="00F72680">
        <w:rPr>
          <w:rFonts w:eastAsia="Calibri"/>
          <w:lang w:val="en-AU" w:eastAsia="en-US"/>
        </w:rPr>
        <w:t>8</w:t>
      </w:r>
      <w:r w:rsidRPr="002C5AEB">
        <w:rPr>
          <w:rFonts w:eastAsia="Calibri"/>
          <w:lang w:val="en-AU" w:eastAsia="en-US"/>
        </w:rPr>
        <w:t xml:space="preserve">) has become important to immunotherapy and the clinical treatment of NAFLD and diabetes. Nutritional diets that contain </w:t>
      </w:r>
      <w:proofErr w:type="spellStart"/>
      <w:r w:rsidRPr="002C5AEB">
        <w:rPr>
          <w:rFonts w:eastAsia="Calibri"/>
          <w:lang w:val="en-AU" w:eastAsia="en-US"/>
        </w:rPr>
        <w:t>Sirt</w:t>
      </w:r>
      <w:proofErr w:type="spellEnd"/>
      <w:r w:rsidRPr="002C5AEB">
        <w:rPr>
          <w:rFonts w:eastAsia="Calibri"/>
          <w:lang w:val="en-AU" w:eastAsia="en-US"/>
        </w:rPr>
        <w:t xml:space="preserve"> 1 activators</w:t>
      </w:r>
      <w:r>
        <w:rPr>
          <w:rFonts w:eastAsia="Calibri"/>
          <w:lang w:val="en-AU" w:eastAsia="en-US"/>
        </w:rPr>
        <w:t xml:space="preserve"> have</w:t>
      </w:r>
      <w:r w:rsidRPr="002C5AEB">
        <w:rPr>
          <w:rFonts w:eastAsia="Calibri"/>
          <w:lang w:val="en-AU" w:eastAsia="en-US"/>
        </w:rPr>
        <w:t xml:space="preserve"> become vital to immunotherapy research</w:t>
      </w:r>
      <w:r>
        <w:rPr>
          <w:rFonts w:eastAsia="Calibri"/>
          <w:lang w:val="en-AU" w:eastAsia="en-US"/>
        </w:rPr>
        <w:t xml:space="preserve"> to</w:t>
      </w:r>
      <w:r w:rsidRPr="002C5AEB">
        <w:rPr>
          <w:rFonts w:eastAsia="Calibri"/>
          <w:lang w:val="en-AU" w:eastAsia="en-US"/>
        </w:rPr>
        <w:t xml:space="preserve"> maintain </w:t>
      </w:r>
      <w:proofErr w:type="spellStart"/>
      <w:r w:rsidRPr="002C5AEB">
        <w:rPr>
          <w:rFonts w:eastAsia="Calibri"/>
          <w:lang w:val="en-AU" w:eastAsia="en-US"/>
        </w:rPr>
        <w:t>immunometabolism</w:t>
      </w:r>
      <w:proofErr w:type="spellEnd"/>
      <w:r w:rsidRPr="002C5AEB">
        <w:rPr>
          <w:rFonts w:eastAsia="Calibri"/>
          <w:lang w:val="en-AU" w:eastAsia="en-US"/>
        </w:rPr>
        <w:t xml:space="preserve"> </w:t>
      </w:r>
      <w:r w:rsidR="00F72680">
        <w:rPr>
          <w:rFonts w:eastAsia="Calibri"/>
          <w:lang w:val="en-AU" w:eastAsia="en-US"/>
        </w:rPr>
        <w:t xml:space="preserve">and </w:t>
      </w:r>
      <w:r>
        <w:rPr>
          <w:rFonts w:eastAsia="Calibri"/>
          <w:lang w:val="en-AU" w:eastAsia="en-US"/>
        </w:rPr>
        <w:t xml:space="preserve">prevent </w:t>
      </w:r>
      <w:proofErr w:type="spellStart"/>
      <w:r>
        <w:rPr>
          <w:rFonts w:eastAsia="Calibri"/>
          <w:lang w:val="en-AU" w:eastAsia="en-US"/>
        </w:rPr>
        <w:t>mitophagy</w:t>
      </w:r>
      <w:proofErr w:type="spellEnd"/>
      <w:r w:rsidRPr="002C5AEB">
        <w:rPr>
          <w:rFonts w:eastAsia="Calibri"/>
          <w:lang w:val="en-AU" w:eastAsia="en-US"/>
        </w:rPr>
        <w:t>. Science and medicine and its relevance to genomic medicine (</w:t>
      </w:r>
      <w:r w:rsidR="00F72680">
        <w:rPr>
          <w:rFonts w:eastAsia="Calibri"/>
          <w:lang w:val="en-AU" w:eastAsia="en-US"/>
        </w:rPr>
        <w:t>9</w:t>
      </w:r>
      <w:r w:rsidRPr="002C5AEB">
        <w:rPr>
          <w:rFonts w:eastAsia="Calibri"/>
          <w:lang w:val="en-AU" w:eastAsia="en-US"/>
        </w:rPr>
        <w:t xml:space="preserve">) needs to consider </w:t>
      </w:r>
      <w:proofErr w:type="spellStart"/>
      <w:r w:rsidRPr="002C5AEB">
        <w:rPr>
          <w:rFonts w:eastAsia="Calibri"/>
          <w:lang w:val="en-AU" w:eastAsia="en-US"/>
        </w:rPr>
        <w:t>Sirt</w:t>
      </w:r>
      <w:proofErr w:type="spellEnd"/>
      <w:r w:rsidRPr="002C5AEB">
        <w:rPr>
          <w:rFonts w:eastAsia="Calibri"/>
          <w:lang w:val="en-AU" w:eastAsia="en-US"/>
        </w:rPr>
        <w:t xml:space="preserve"> 1 gene expression with its relevance to accelerated immune reactions that trigger acute cardiovascular disease. Various factors need to be considered as the trigger for toxic immune reactions with relevance to the progression of cardiovascular disease</w:t>
      </w:r>
      <w:r w:rsidR="00F72680">
        <w:rPr>
          <w:rFonts w:eastAsia="Calibri"/>
          <w:lang w:val="en-AU" w:eastAsia="en-US"/>
        </w:rPr>
        <w:t>,</w:t>
      </w:r>
      <w:r w:rsidRPr="002C5AEB">
        <w:rPr>
          <w:rFonts w:eastAsia="Calibri"/>
          <w:lang w:val="en-AU" w:eastAsia="en-US"/>
        </w:rPr>
        <w:t xml:space="preserve"> NAFLD and diabetes.</w:t>
      </w:r>
    </w:p>
    <w:p w:rsidR="00DF18F2" w:rsidRDefault="00DF18F2" w:rsidP="000B2191">
      <w:pPr>
        <w:jc w:val="both"/>
        <w:rPr>
          <w:b/>
        </w:rPr>
      </w:pPr>
    </w:p>
    <w:p w:rsidR="006809B6" w:rsidRPr="006809B6" w:rsidRDefault="006809B6" w:rsidP="000B2191">
      <w:pPr>
        <w:jc w:val="both"/>
        <w:rPr>
          <w:b/>
        </w:rPr>
      </w:pPr>
      <w:r w:rsidRPr="006809B6">
        <w:rPr>
          <w:b/>
        </w:rPr>
        <w:t>REFERENCES:</w:t>
      </w:r>
    </w:p>
    <w:p w:rsidR="00B8710A" w:rsidRDefault="00B8710A" w:rsidP="000B2191">
      <w:pPr>
        <w:jc w:val="both"/>
        <w:rPr>
          <w:color w:val="000000"/>
        </w:rPr>
      </w:pPr>
    </w:p>
    <w:p w:rsidR="002C5AEB" w:rsidRPr="002C5AEB" w:rsidRDefault="002C5AEB" w:rsidP="002C5AEB">
      <w:pPr>
        <w:numPr>
          <w:ilvl w:val="0"/>
          <w:numId w:val="2"/>
        </w:numPr>
        <w:spacing w:after="160" w:line="259" w:lineRule="auto"/>
        <w:contextualSpacing/>
        <w:jc w:val="both"/>
        <w:rPr>
          <w:rFonts w:eastAsia="Times New Roman"/>
          <w:lang w:val="en-AU" w:eastAsia="en-AU"/>
        </w:rPr>
      </w:pPr>
      <w:r w:rsidRPr="002C5AEB">
        <w:rPr>
          <w:rFonts w:eastAsia="Times New Roman"/>
          <w:lang w:val="en-AU" w:eastAsia="en-AU"/>
        </w:rPr>
        <w:t xml:space="preserve">Martins IJ. Appetite Control and </w:t>
      </w:r>
      <w:proofErr w:type="spellStart"/>
      <w:r w:rsidRPr="002C5AEB">
        <w:rPr>
          <w:rFonts w:eastAsia="Times New Roman"/>
          <w:lang w:val="en-AU" w:eastAsia="en-AU"/>
        </w:rPr>
        <w:t>Nutrigenomic</w:t>
      </w:r>
      <w:proofErr w:type="spellEnd"/>
      <w:r w:rsidRPr="002C5AEB">
        <w:rPr>
          <w:rFonts w:eastAsia="Times New Roman"/>
          <w:lang w:val="en-AU" w:eastAsia="en-AU"/>
        </w:rPr>
        <w:t xml:space="preserve"> Diets are </w:t>
      </w:r>
      <w:proofErr w:type="gramStart"/>
      <w:r w:rsidRPr="002C5AEB">
        <w:rPr>
          <w:rFonts w:eastAsia="Times New Roman"/>
          <w:lang w:val="en-AU" w:eastAsia="en-AU"/>
        </w:rPr>
        <w:t>Connected</w:t>
      </w:r>
      <w:proofErr w:type="gramEnd"/>
      <w:r w:rsidRPr="002C5AEB">
        <w:rPr>
          <w:rFonts w:eastAsia="Times New Roman"/>
          <w:lang w:val="en-AU" w:eastAsia="en-AU"/>
        </w:rPr>
        <w:t xml:space="preserve"> to Immune Regulation and Diabetes Prevention. EC Nutrition 12.3 (2017): 120-123.</w:t>
      </w:r>
    </w:p>
    <w:p w:rsidR="002C5AEB" w:rsidRPr="002C5AEB" w:rsidRDefault="002C5AEB" w:rsidP="002C5AEB">
      <w:pPr>
        <w:numPr>
          <w:ilvl w:val="0"/>
          <w:numId w:val="2"/>
        </w:numPr>
        <w:spacing w:after="160" w:line="259" w:lineRule="auto"/>
        <w:contextualSpacing/>
        <w:jc w:val="both"/>
        <w:rPr>
          <w:rFonts w:eastAsia="Times New Roman"/>
          <w:lang w:val="en-AU" w:eastAsia="en-AU"/>
        </w:rPr>
      </w:pPr>
      <w:r w:rsidRPr="002C5AEB">
        <w:rPr>
          <w:rFonts w:eastAsia="Times New Roman"/>
          <w:color w:val="000000"/>
          <w:lang w:eastAsia="en-AU"/>
        </w:rPr>
        <w:t xml:space="preserve">Martins IJ. </w:t>
      </w:r>
      <w:r w:rsidRPr="002C5AEB">
        <w:rPr>
          <w:rFonts w:eastAsia="Times New Roman"/>
          <w:bCs/>
          <w:color w:val="000000"/>
          <w:lang w:eastAsia="en-AU"/>
        </w:rPr>
        <w:t>Appetite Control with Relevance to Mitochondrial Biogenesis and Activation of Post- Prandial Lipid Metabolism in Obesity Linked Diabetes</w:t>
      </w:r>
      <w:r w:rsidRPr="002C5AEB">
        <w:rPr>
          <w:rFonts w:eastAsia="Times New Roman"/>
          <w:color w:val="000000"/>
          <w:lang w:eastAsia="en-AU"/>
        </w:rPr>
        <w:t xml:space="preserve">. </w:t>
      </w:r>
      <w:r w:rsidRPr="002C5AEB">
        <w:rPr>
          <w:rFonts w:eastAsia="Times New Roman"/>
          <w:color w:val="000000"/>
          <w:lang w:val="en" w:eastAsia="en-AU"/>
        </w:rPr>
        <w:t xml:space="preserve">Ann </w:t>
      </w:r>
      <w:proofErr w:type="spellStart"/>
      <w:r w:rsidRPr="002C5AEB">
        <w:rPr>
          <w:rFonts w:eastAsia="Times New Roman"/>
          <w:color w:val="000000"/>
          <w:lang w:val="en" w:eastAsia="en-AU"/>
        </w:rPr>
        <w:t>Obes</w:t>
      </w:r>
      <w:proofErr w:type="spellEnd"/>
      <w:r w:rsidRPr="002C5AEB">
        <w:rPr>
          <w:rFonts w:eastAsia="Times New Roman"/>
          <w:color w:val="000000"/>
          <w:lang w:val="en" w:eastAsia="en-AU"/>
        </w:rPr>
        <w:t xml:space="preserve"> </w:t>
      </w:r>
      <w:proofErr w:type="spellStart"/>
      <w:r w:rsidRPr="002C5AEB">
        <w:rPr>
          <w:rFonts w:eastAsia="Times New Roman"/>
          <w:color w:val="000000"/>
          <w:lang w:val="en" w:eastAsia="en-AU"/>
        </w:rPr>
        <w:t>Disord</w:t>
      </w:r>
      <w:proofErr w:type="spellEnd"/>
      <w:r w:rsidRPr="002C5AEB">
        <w:rPr>
          <w:rFonts w:eastAsia="Times New Roman"/>
          <w:color w:val="000000"/>
          <w:lang w:val="en" w:eastAsia="en-AU"/>
        </w:rPr>
        <w:t>. 2016; 1(3): 1012.</w:t>
      </w:r>
    </w:p>
    <w:p w:rsidR="002C5AEB" w:rsidRDefault="002C5AEB" w:rsidP="002C5AEB">
      <w:pPr>
        <w:numPr>
          <w:ilvl w:val="0"/>
          <w:numId w:val="2"/>
        </w:numPr>
        <w:spacing w:after="160" w:line="259" w:lineRule="auto"/>
        <w:contextualSpacing/>
        <w:jc w:val="both"/>
        <w:rPr>
          <w:rFonts w:eastAsia="Times New Roman"/>
          <w:lang w:val="en-AU" w:eastAsia="en-AU"/>
        </w:rPr>
      </w:pPr>
      <w:r w:rsidRPr="002C5AEB">
        <w:rPr>
          <w:rFonts w:eastAsia="Times New Roman"/>
          <w:color w:val="000000"/>
          <w:lang w:val="en" w:eastAsia="en-AU"/>
        </w:rPr>
        <w:t>Martins IJ. Anti-Aging Genes Improve Appetite Regulation and Reverse Cell Senescence and Apoptosis in Global Populations. Advances in Aging Research, 2016, 5, 9-26.</w:t>
      </w:r>
    </w:p>
    <w:p w:rsidR="002C5AEB" w:rsidRDefault="002C5AEB" w:rsidP="002C5AEB">
      <w:pPr>
        <w:numPr>
          <w:ilvl w:val="0"/>
          <w:numId w:val="2"/>
        </w:numPr>
        <w:spacing w:after="160" w:line="259" w:lineRule="auto"/>
        <w:contextualSpacing/>
        <w:jc w:val="both"/>
        <w:rPr>
          <w:rFonts w:eastAsia="Times New Roman"/>
          <w:lang w:val="en-AU" w:eastAsia="en-AU"/>
        </w:rPr>
      </w:pPr>
      <w:r w:rsidRPr="002C5AEB">
        <w:rPr>
          <w:color w:val="231F20"/>
        </w:rPr>
        <w:t>Martins IJ. Autoimmune disease and mitochondrial dysfunction in chronic diseases.</w:t>
      </w:r>
      <w:r w:rsidRPr="002C5AEB">
        <w:rPr>
          <w:b/>
          <w:bCs/>
          <w:i/>
          <w:iCs/>
          <w:color w:val="231F20"/>
        </w:rPr>
        <w:t xml:space="preserve"> </w:t>
      </w:r>
      <w:r w:rsidRPr="002C5AEB">
        <w:rPr>
          <w:bCs/>
          <w:iCs/>
          <w:color w:val="231F20"/>
        </w:rPr>
        <w:t xml:space="preserve">Res </w:t>
      </w:r>
      <w:proofErr w:type="spellStart"/>
      <w:r w:rsidRPr="002C5AEB">
        <w:rPr>
          <w:bCs/>
          <w:iCs/>
          <w:color w:val="231F20"/>
        </w:rPr>
        <w:t>Chron</w:t>
      </w:r>
      <w:proofErr w:type="spellEnd"/>
      <w:r w:rsidRPr="002C5AEB">
        <w:rPr>
          <w:bCs/>
          <w:iCs/>
          <w:color w:val="231F20"/>
        </w:rPr>
        <w:t xml:space="preserve"> Dis </w:t>
      </w:r>
      <w:r w:rsidRPr="002C5AEB">
        <w:rPr>
          <w:color w:val="231F20"/>
        </w:rPr>
        <w:t>(2017) 1(1).</w:t>
      </w:r>
    </w:p>
    <w:p w:rsidR="00F72680" w:rsidRDefault="002C5AEB" w:rsidP="00F72680">
      <w:pPr>
        <w:numPr>
          <w:ilvl w:val="0"/>
          <w:numId w:val="2"/>
        </w:numPr>
        <w:spacing w:after="160" w:line="259" w:lineRule="auto"/>
        <w:contextualSpacing/>
        <w:jc w:val="both"/>
        <w:rPr>
          <w:rFonts w:eastAsia="Times New Roman"/>
          <w:lang w:val="en-AU" w:eastAsia="en-AU"/>
        </w:rPr>
      </w:pPr>
      <w:r w:rsidRPr="002C5AEB">
        <w:rPr>
          <w:rFonts w:eastAsia="Times New Roman"/>
          <w:color w:val="221E1F"/>
          <w:lang w:val="en-AU" w:eastAsia="en-AU"/>
        </w:rPr>
        <w:t>Martins IJ. Defective Inter</w:t>
      </w:r>
      <w:r w:rsidRPr="002C5AEB">
        <w:rPr>
          <w:rFonts w:eastAsia="Times New Roman"/>
          <w:color w:val="221E1F"/>
          <w:lang w:val="en-AU" w:eastAsia="en-AU"/>
        </w:rPr>
        <w:softHyphen/>
        <w:t xml:space="preserve">play between Adipose Tissue and Immune System Induces Non Alcoholic Fatty Liver Disease. Updates </w:t>
      </w:r>
      <w:proofErr w:type="spellStart"/>
      <w:r w:rsidRPr="002C5AEB">
        <w:rPr>
          <w:rFonts w:eastAsia="Times New Roman"/>
          <w:color w:val="221E1F"/>
          <w:lang w:val="en-AU" w:eastAsia="en-AU"/>
        </w:rPr>
        <w:t>Nutr</w:t>
      </w:r>
      <w:proofErr w:type="spellEnd"/>
      <w:r w:rsidRPr="002C5AEB">
        <w:rPr>
          <w:rFonts w:eastAsia="Times New Roman"/>
          <w:color w:val="221E1F"/>
          <w:lang w:val="en-AU" w:eastAsia="en-AU"/>
        </w:rPr>
        <w:t xml:space="preserve"> Disorders </w:t>
      </w:r>
      <w:proofErr w:type="spellStart"/>
      <w:r w:rsidRPr="002C5AEB">
        <w:rPr>
          <w:rFonts w:eastAsia="Times New Roman"/>
          <w:color w:val="221E1F"/>
          <w:lang w:val="en-AU" w:eastAsia="en-AU"/>
        </w:rPr>
        <w:t>Ther</w:t>
      </w:r>
      <w:proofErr w:type="spellEnd"/>
      <w:r w:rsidRPr="002C5AEB">
        <w:rPr>
          <w:rFonts w:eastAsia="Times New Roman"/>
          <w:color w:val="221E1F"/>
          <w:lang w:val="en-AU" w:eastAsia="en-AU"/>
        </w:rPr>
        <w:t>. 2017; 1: 3.1</w:t>
      </w:r>
      <w:r w:rsidRPr="002C5AEB">
        <w:rPr>
          <w:rFonts w:eastAsia="Times New Roman"/>
          <w:lang w:val="en-AU" w:eastAsia="en-AU"/>
        </w:rPr>
        <w:t>.</w:t>
      </w:r>
    </w:p>
    <w:p w:rsidR="00F72680" w:rsidRDefault="00F72680" w:rsidP="00F72680">
      <w:pPr>
        <w:numPr>
          <w:ilvl w:val="0"/>
          <w:numId w:val="2"/>
        </w:numPr>
        <w:spacing w:after="160" w:line="259" w:lineRule="auto"/>
        <w:contextualSpacing/>
        <w:jc w:val="both"/>
        <w:rPr>
          <w:rFonts w:eastAsia="Times New Roman"/>
          <w:lang w:val="en-AU" w:eastAsia="en-AU"/>
        </w:rPr>
      </w:pPr>
      <w:r w:rsidRPr="00F72680">
        <w:rPr>
          <w:bCs/>
          <w:color w:val="000000"/>
        </w:rPr>
        <w:t xml:space="preserve">Martins IJ. Heat shock gene </w:t>
      </w:r>
      <w:proofErr w:type="spellStart"/>
      <w:r w:rsidRPr="00F72680">
        <w:rPr>
          <w:bCs/>
          <w:color w:val="000000"/>
        </w:rPr>
        <w:t>Sirtuin</w:t>
      </w:r>
      <w:proofErr w:type="spellEnd"/>
      <w:r w:rsidRPr="00F72680">
        <w:rPr>
          <w:bCs/>
          <w:color w:val="000000"/>
        </w:rPr>
        <w:t xml:space="preserve"> 1 regulates post-prandial lipid metabolism with relevance to nutrition and appetite regulation in diabetes. </w:t>
      </w:r>
      <w:r w:rsidRPr="00F72680">
        <w:rPr>
          <w:color w:val="000000"/>
        </w:rPr>
        <w:t xml:space="preserve">International Journal of Diabetes and Clinical Diagnosis. </w:t>
      </w:r>
      <w:proofErr w:type="spellStart"/>
      <w:r w:rsidRPr="00F72680">
        <w:rPr>
          <w:color w:val="000000"/>
        </w:rPr>
        <w:t>Int</w:t>
      </w:r>
      <w:proofErr w:type="spellEnd"/>
      <w:r w:rsidRPr="00F72680">
        <w:rPr>
          <w:color w:val="000000"/>
        </w:rPr>
        <w:t xml:space="preserve"> J </w:t>
      </w:r>
      <w:proofErr w:type="spellStart"/>
      <w:r w:rsidRPr="00F72680">
        <w:rPr>
          <w:color w:val="000000"/>
        </w:rPr>
        <w:t>Diab</w:t>
      </w:r>
      <w:proofErr w:type="spellEnd"/>
      <w:r w:rsidRPr="00F72680">
        <w:rPr>
          <w:color w:val="000000"/>
        </w:rPr>
        <w:t xml:space="preserve"> </w:t>
      </w:r>
      <w:proofErr w:type="spellStart"/>
      <w:r w:rsidRPr="00F72680">
        <w:rPr>
          <w:color w:val="000000"/>
        </w:rPr>
        <w:t>Clin</w:t>
      </w:r>
      <w:proofErr w:type="spellEnd"/>
      <w:r w:rsidRPr="00F72680">
        <w:rPr>
          <w:color w:val="000000"/>
        </w:rPr>
        <w:t xml:space="preserve"> </w:t>
      </w:r>
      <w:proofErr w:type="spellStart"/>
      <w:r w:rsidRPr="00F72680">
        <w:rPr>
          <w:color w:val="000000"/>
        </w:rPr>
        <w:t>Diagn</w:t>
      </w:r>
      <w:proofErr w:type="spellEnd"/>
      <w:r w:rsidRPr="00F72680">
        <w:rPr>
          <w:color w:val="000000"/>
        </w:rPr>
        <w:t>. 2016, 3:20.</w:t>
      </w:r>
    </w:p>
    <w:p w:rsidR="00F72680" w:rsidRDefault="00F72680" w:rsidP="00F72680">
      <w:pPr>
        <w:numPr>
          <w:ilvl w:val="0"/>
          <w:numId w:val="2"/>
        </w:numPr>
        <w:spacing w:after="160" w:line="259" w:lineRule="auto"/>
        <w:contextualSpacing/>
        <w:jc w:val="both"/>
        <w:rPr>
          <w:rFonts w:eastAsia="Times New Roman"/>
          <w:lang w:val="en-AU" w:eastAsia="en-AU"/>
        </w:rPr>
      </w:pPr>
      <w:r w:rsidRPr="00F72680">
        <w:rPr>
          <w:color w:val="000000"/>
          <w:lang w:val="en"/>
        </w:rPr>
        <w:t>Martins IJ. Type 3 diabetes with links to NAFLD and Other Chronic Diseases</w:t>
      </w:r>
      <w:r>
        <w:rPr>
          <w:rFonts w:eastAsia="Times New Roman"/>
          <w:lang w:val="en-AU" w:eastAsia="en-AU"/>
        </w:rPr>
        <w:t xml:space="preserve"> </w:t>
      </w:r>
      <w:r w:rsidRPr="00F72680">
        <w:rPr>
          <w:color w:val="000000"/>
          <w:lang w:val="en"/>
        </w:rPr>
        <w:t>in the Western World. International Journal of Diabetes. 2016; 1:1-5.</w:t>
      </w:r>
    </w:p>
    <w:p w:rsidR="00F72680" w:rsidRDefault="002C5AEB" w:rsidP="00F72680">
      <w:pPr>
        <w:numPr>
          <w:ilvl w:val="0"/>
          <w:numId w:val="2"/>
        </w:numPr>
        <w:spacing w:after="160" w:line="259" w:lineRule="auto"/>
        <w:contextualSpacing/>
        <w:jc w:val="both"/>
        <w:rPr>
          <w:rFonts w:eastAsia="Times New Roman"/>
          <w:lang w:val="en-AU" w:eastAsia="en-AU"/>
        </w:rPr>
      </w:pPr>
      <w:r w:rsidRPr="002C5AEB">
        <w:rPr>
          <w:rFonts w:eastAsia="TimesNewRomanPSMT"/>
          <w:lang w:val="en-AU" w:eastAsia="en-AU"/>
        </w:rPr>
        <w:t xml:space="preserve">Martins IJ. Antimicrobial activity inactivation and toxic immune reactions induce Epilepsy in human. J Med </w:t>
      </w:r>
      <w:proofErr w:type="spellStart"/>
      <w:r w:rsidRPr="002C5AEB">
        <w:rPr>
          <w:rFonts w:eastAsia="TimesNewRomanPSMT"/>
          <w:lang w:val="en-AU" w:eastAsia="en-AU"/>
        </w:rPr>
        <w:t>Discov</w:t>
      </w:r>
      <w:proofErr w:type="spellEnd"/>
      <w:r w:rsidRPr="002C5AEB">
        <w:rPr>
          <w:rFonts w:eastAsia="TimesNewRomanPSMT"/>
          <w:lang w:val="en-AU" w:eastAsia="en-AU"/>
        </w:rPr>
        <w:t xml:space="preserve"> (2017)</w:t>
      </w:r>
      <w:proofErr w:type="gramStart"/>
      <w:r w:rsidRPr="002C5AEB">
        <w:rPr>
          <w:rFonts w:eastAsia="TimesNewRomanPSMT"/>
          <w:lang w:val="en-AU" w:eastAsia="en-AU"/>
        </w:rPr>
        <w:t>;2</w:t>
      </w:r>
      <w:proofErr w:type="gramEnd"/>
      <w:r w:rsidRPr="002C5AEB">
        <w:rPr>
          <w:rFonts w:eastAsia="TimesNewRomanPSMT"/>
          <w:lang w:val="en-AU" w:eastAsia="en-AU"/>
        </w:rPr>
        <w:t>(4):jmd17040.</w:t>
      </w:r>
    </w:p>
    <w:p w:rsidR="002C5AEB" w:rsidRPr="002C5AEB" w:rsidRDefault="002C5AEB" w:rsidP="00F72680">
      <w:pPr>
        <w:numPr>
          <w:ilvl w:val="0"/>
          <w:numId w:val="2"/>
        </w:numPr>
        <w:spacing w:after="160" w:line="259" w:lineRule="auto"/>
        <w:contextualSpacing/>
        <w:jc w:val="both"/>
        <w:rPr>
          <w:rFonts w:eastAsia="Times New Roman"/>
          <w:lang w:val="en-AU" w:eastAsia="en-AU"/>
        </w:rPr>
      </w:pPr>
      <w:r w:rsidRPr="002C5AEB">
        <w:rPr>
          <w:rFonts w:eastAsia="Times New Roman"/>
          <w:lang w:val="en-AU" w:eastAsia="en-AU"/>
        </w:rPr>
        <w:t xml:space="preserve">Martins IJ. Genomic medicine and acute cardiovascular disease progression in diabetes. </w:t>
      </w:r>
      <w:r w:rsidRPr="002C5AEB">
        <w:rPr>
          <w:rFonts w:eastAsia="Times New Roman"/>
          <w:bCs/>
          <w:iCs/>
          <w:lang w:val="en-AU" w:eastAsia="en-AU"/>
        </w:rPr>
        <w:t xml:space="preserve">Res </w:t>
      </w:r>
      <w:proofErr w:type="spellStart"/>
      <w:r w:rsidRPr="002C5AEB">
        <w:rPr>
          <w:rFonts w:eastAsia="Times New Roman"/>
          <w:bCs/>
          <w:iCs/>
          <w:lang w:val="en-AU" w:eastAsia="en-AU"/>
        </w:rPr>
        <w:t>Chron</w:t>
      </w:r>
      <w:proofErr w:type="spellEnd"/>
      <w:r w:rsidRPr="002C5AEB">
        <w:rPr>
          <w:rFonts w:eastAsia="Times New Roman"/>
          <w:bCs/>
          <w:iCs/>
          <w:lang w:val="en-AU" w:eastAsia="en-AU"/>
        </w:rPr>
        <w:t xml:space="preserve"> Dis </w:t>
      </w:r>
      <w:r w:rsidRPr="002C5AEB">
        <w:rPr>
          <w:rFonts w:eastAsia="Times New Roman"/>
          <w:lang w:val="en-AU" w:eastAsia="en-AU"/>
        </w:rPr>
        <w:t>(2018) 2(1), 001–003.</w:t>
      </w:r>
    </w:p>
    <w:p w:rsidR="002C5AEB" w:rsidRPr="002C5AEB" w:rsidRDefault="002C5AEB" w:rsidP="002C5AEB">
      <w:pPr>
        <w:spacing w:after="160" w:line="259" w:lineRule="auto"/>
        <w:ind w:left="1080"/>
        <w:contextualSpacing/>
        <w:jc w:val="both"/>
        <w:rPr>
          <w:rFonts w:eastAsia="Times New Roman"/>
          <w:lang w:val="en-AU" w:eastAsia="en-AU"/>
        </w:rPr>
      </w:pPr>
    </w:p>
    <w:p w:rsidR="00B8710A" w:rsidRPr="000B2191" w:rsidRDefault="00B8710A" w:rsidP="000B2191">
      <w:pPr>
        <w:jc w:val="both"/>
        <w:rPr>
          <w:b/>
        </w:rPr>
      </w:pPr>
      <w:r w:rsidRPr="00732C88">
        <w:rPr>
          <w:b/>
        </w:rPr>
        <w:t>Biography</w:t>
      </w:r>
    </w:p>
    <w:p w:rsidR="00CE6677" w:rsidRPr="000B2191" w:rsidRDefault="00CE6677" w:rsidP="000B2191">
      <w:pPr>
        <w:jc w:val="both"/>
        <w:rPr>
          <w:b/>
        </w:rPr>
      </w:pPr>
    </w:p>
    <w:p w:rsidR="002C5AEB" w:rsidRPr="002C5AEB" w:rsidRDefault="002C5AEB" w:rsidP="002C5AEB">
      <w:pPr>
        <w:rPr>
          <w:rFonts w:eastAsia="Times New Roman"/>
          <w:bCs/>
          <w:color w:val="181512"/>
          <w:lang w:val="en-AU" w:eastAsia="en-AU"/>
        </w:rPr>
      </w:pPr>
      <w:proofErr w:type="spellStart"/>
      <w:r w:rsidRPr="002C5AEB">
        <w:rPr>
          <w:rFonts w:eastAsia="Times New Roman"/>
          <w:bCs/>
          <w:color w:val="181512"/>
          <w:lang w:val="en-AU" w:eastAsia="en-AU"/>
        </w:rPr>
        <w:t>Dr.</w:t>
      </w:r>
      <w:proofErr w:type="spellEnd"/>
      <w:r w:rsidRPr="002C5AEB">
        <w:rPr>
          <w:rFonts w:eastAsia="Times New Roman"/>
          <w:bCs/>
          <w:color w:val="181512"/>
          <w:lang w:val="en-AU" w:eastAsia="en-AU"/>
        </w:rPr>
        <w:t xml:space="preserve"> Ian Martins is an Editor/</w:t>
      </w:r>
      <w:proofErr w:type="spellStart"/>
      <w:r w:rsidRPr="002C5AEB">
        <w:rPr>
          <w:rFonts w:eastAsia="Times New Roman"/>
          <w:bCs/>
          <w:color w:val="181512"/>
          <w:lang w:val="en-AU" w:eastAsia="en-AU"/>
        </w:rPr>
        <w:t>Reveiwer</w:t>
      </w:r>
      <w:proofErr w:type="spellEnd"/>
      <w:r w:rsidRPr="002C5AEB">
        <w:rPr>
          <w:rFonts w:eastAsia="Times New Roman"/>
          <w:bCs/>
          <w:color w:val="181512"/>
          <w:lang w:val="en-AU" w:eastAsia="en-AU"/>
        </w:rPr>
        <w:t xml:space="preserve"> for Open </w:t>
      </w:r>
      <w:proofErr w:type="spellStart"/>
      <w:r w:rsidRPr="002C5AEB">
        <w:rPr>
          <w:rFonts w:eastAsia="Times New Roman"/>
          <w:bCs/>
          <w:color w:val="181512"/>
          <w:lang w:val="en-AU" w:eastAsia="en-AU"/>
        </w:rPr>
        <w:t>Acess</w:t>
      </w:r>
      <w:proofErr w:type="spellEnd"/>
      <w:r w:rsidRPr="002C5AEB">
        <w:rPr>
          <w:rFonts w:eastAsia="Times New Roman"/>
          <w:bCs/>
          <w:color w:val="181512"/>
          <w:lang w:val="en-AU" w:eastAsia="en-AU"/>
        </w:rPr>
        <w:t xml:space="preserve"> Pub/MDPI journals and various other international journals. Appointed as the Chief Editor for International Journal of Diabetes Research (2014-2018), </w:t>
      </w:r>
      <w:hyperlink r:id="rId7" w:tgtFrame="_blank" w:history="1">
        <w:r w:rsidRPr="002C5AEB">
          <w:rPr>
            <w:rFonts w:eastAsia="Times New Roman"/>
            <w:color w:val="000000"/>
            <w:lang w:eastAsia="en-AU"/>
          </w:rPr>
          <w:t>Research and Reviews: Neuroscience</w:t>
        </w:r>
      </w:hyperlink>
      <w:r w:rsidRPr="002C5AEB">
        <w:rPr>
          <w:rFonts w:eastAsia="Times New Roman"/>
          <w:color w:val="000000"/>
          <w:lang w:eastAsia="en-AU"/>
        </w:rPr>
        <w:t xml:space="preserve"> (2016-2018) and Journal of Diabetes and Clinical Studies (2017-2018)</w:t>
      </w:r>
      <w:r w:rsidRPr="002C5AEB">
        <w:rPr>
          <w:rFonts w:eastAsia="Times New Roman"/>
          <w:bCs/>
          <w:color w:val="181512"/>
          <w:lang w:val="en-AU" w:eastAsia="en-AU"/>
        </w:rPr>
        <w:t xml:space="preserve">. Conferred with the RICHARD KUHN RESEARCH AWARD-2015 ENDOCRINOLOGY AND METABOLISM. He is a BIT Member (BIT Congress. </w:t>
      </w:r>
      <w:proofErr w:type="spellStart"/>
      <w:r w:rsidRPr="002C5AEB">
        <w:rPr>
          <w:rFonts w:eastAsia="Times New Roman"/>
          <w:bCs/>
          <w:color w:val="181512"/>
          <w:lang w:val="en-AU" w:eastAsia="en-AU"/>
        </w:rPr>
        <w:t>Inc</w:t>
      </w:r>
      <w:proofErr w:type="spellEnd"/>
      <w:r w:rsidRPr="002C5AEB">
        <w:rPr>
          <w:rFonts w:eastAsia="Times New Roman"/>
          <w:bCs/>
          <w:color w:val="181512"/>
          <w:lang w:val="en-AU" w:eastAsia="en-AU"/>
        </w:rPr>
        <w:t xml:space="preserve">) with an </w:t>
      </w:r>
      <w:r w:rsidRPr="002C5AEB">
        <w:rPr>
          <w:rFonts w:eastAsia="Times New Roman"/>
          <w:bCs/>
          <w:i/>
          <w:color w:val="181512"/>
          <w:lang w:val="en-AU" w:eastAsia="en-AU"/>
        </w:rPr>
        <w:t>H-index</w:t>
      </w:r>
      <w:r w:rsidRPr="002C5AEB">
        <w:rPr>
          <w:rFonts w:eastAsia="Times New Roman"/>
          <w:bCs/>
          <w:color w:val="181512"/>
          <w:lang w:val="en-AU" w:eastAsia="en-AU"/>
        </w:rPr>
        <w:t xml:space="preserve"> of 43, (</w:t>
      </w:r>
      <w:proofErr w:type="spellStart"/>
      <w:r w:rsidRPr="002C5AEB">
        <w:rPr>
          <w:rFonts w:eastAsia="Times New Roman"/>
          <w:bCs/>
          <w:color w:val="181512"/>
          <w:lang w:val="en-AU" w:eastAsia="en-AU"/>
        </w:rPr>
        <w:t>ResearchGate</w:t>
      </w:r>
      <w:proofErr w:type="spellEnd"/>
      <w:r w:rsidRPr="002C5AEB">
        <w:rPr>
          <w:rFonts w:eastAsia="Times New Roman"/>
          <w:bCs/>
          <w:color w:val="181512"/>
          <w:lang w:val="en-AU" w:eastAsia="en-AU"/>
        </w:rPr>
        <w:t xml:space="preserve"> STATs (23), </w:t>
      </w:r>
      <w:proofErr w:type="spellStart"/>
      <w:r w:rsidRPr="002C5AEB">
        <w:rPr>
          <w:rFonts w:eastAsia="Times New Roman"/>
          <w:bCs/>
          <w:color w:val="181512"/>
          <w:lang w:val="en-AU" w:eastAsia="en-AU"/>
        </w:rPr>
        <w:t>Mendeley</w:t>
      </w:r>
      <w:proofErr w:type="spellEnd"/>
      <w:r w:rsidRPr="002C5AEB">
        <w:rPr>
          <w:rFonts w:eastAsia="Times New Roman"/>
          <w:bCs/>
          <w:color w:val="181512"/>
          <w:lang w:val="en-AU" w:eastAsia="en-AU"/>
        </w:rPr>
        <w:t xml:space="preserve"> STATS (20). He is now a Scientist for The Science Advisory Board (USA) and an Academic with Academia.edu. The total citations over the past 27 years of scientific research has accumulated to </w:t>
      </w:r>
      <w:r>
        <w:rPr>
          <w:rFonts w:eastAsia="Times New Roman"/>
          <w:bCs/>
          <w:color w:val="181512"/>
          <w:lang w:val="en-AU" w:eastAsia="en-AU"/>
        </w:rPr>
        <w:t xml:space="preserve">approx. </w:t>
      </w:r>
      <w:r w:rsidRPr="002C5AEB">
        <w:rPr>
          <w:rFonts w:eastAsia="Times New Roman"/>
          <w:bCs/>
          <w:color w:val="181512"/>
          <w:lang w:val="en-AU" w:eastAsia="en-AU"/>
        </w:rPr>
        <w:t xml:space="preserve">3300. </w:t>
      </w:r>
      <w:proofErr w:type="spellStart"/>
      <w:r w:rsidRPr="002C5AEB">
        <w:rPr>
          <w:rFonts w:eastAsia="Times New Roman"/>
          <w:bCs/>
          <w:color w:val="181512"/>
          <w:lang w:val="en-AU" w:eastAsia="en-AU"/>
        </w:rPr>
        <w:t>ResearchGate’s</w:t>
      </w:r>
      <w:proofErr w:type="spellEnd"/>
      <w:r w:rsidRPr="002C5AEB">
        <w:rPr>
          <w:rFonts w:eastAsia="Times New Roman"/>
          <w:bCs/>
          <w:color w:val="181512"/>
          <w:lang w:val="en-AU" w:eastAsia="en-AU"/>
        </w:rPr>
        <w:t xml:space="preserve"> analysis available on google, Tweet, Facebook, </w:t>
      </w:r>
      <w:proofErr w:type="spellStart"/>
      <w:r w:rsidRPr="002C5AEB">
        <w:rPr>
          <w:rFonts w:eastAsia="Times New Roman"/>
          <w:bCs/>
          <w:color w:val="181512"/>
          <w:lang w:val="en-AU" w:eastAsia="en-AU"/>
        </w:rPr>
        <w:t>Lindekin</w:t>
      </w:r>
      <w:proofErr w:type="spellEnd"/>
      <w:r w:rsidRPr="002C5AEB">
        <w:rPr>
          <w:rFonts w:eastAsia="Times New Roman"/>
          <w:bCs/>
          <w:color w:val="181512"/>
          <w:lang w:val="en-AU" w:eastAsia="en-AU"/>
        </w:rPr>
        <w:t xml:space="preserve"> under Ian James Martins’ name places publication Stats RG score higher than 96% of the international SCIENTISTS. </w:t>
      </w:r>
      <w:r w:rsidRPr="002C5AEB">
        <w:rPr>
          <w:rFonts w:eastAsia="Times New Roman"/>
          <w:bCs/>
          <w:lang w:val="en-AU" w:eastAsia="en-AU"/>
        </w:rPr>
        <w:t xml:space="preserve">Prestigious Recognition of Lifetime Membership by International Agency for Standards and Ratings as Fellow for Diabetes, Medical Science (Nutrition). </w:t>
      </w:r>
      <w:r w:rsidRPr="002C5AEB">
        <w:rPr>
          <w:rFonts w:eastAsia="Times New Roman"/>
          <w:color w:val="000000"/>
          <w:lang w:val="en-AU" w:eastAsia="en-AU"/>
        </w:rPr>
        <w:t>Winner (World Academic Championship -2017) in Diabetes and Medical Science (Nutrition).</w:t>
      </w:r>
      <w:r w:rsidRPr="002C5AEB">
        <w:rPr>
          <w:rFonts w:eastAsia="Times New Roman"/>
          <w:bCs/>
          <w:lang w:val="en-AU" w:eastAsia="en-AU"/>
        </w:rPr>
        <w:t xml:space="preserve"> </w:t>
      </w:r>
      <w:r w:rsidRPr="002C5AEB">
        <w:rPr>
          <w:rFonts w:eastAsia="Times New Roman"/>
          <w:bCs/>
          <w:color w:val="181512"/>
          <w:lang w:val="en-AU" w:eastAsia="en-AU"/>
        </w:rPr>
        <w:t xml:space="preserve">Certificates of appreciation from various international conferences have been received in relation to anti-aging, health and disease. Keynote addresses at Innovate </w:t>
      </w:r>
      <w:proofErr w:type="spellStart"/>
      <w:r w:rsidRPr="002C5AEB">
        <w:rPr>
          <w:rFonts w:eastAsia="Times New Roman"/>
          <w:bCs/>
          <w:color w:val="181512"/>
          <w:lang w:val="en-AU" w:eastAsia="en-AU"/>
        </w:rPr>
        <w:t>Pharma</w:t>
      </w:r>
      <w:proofErr w:type="spellEnd"/>
      <w:r w:rsidRPr="002C5AEB">
        <w:rPr>
          <w:rFonts w:eastAsia="Times New Roman"/>
          <w:bCs/>
          <w:color w:val="181512"/>
          <w:lang w:val="en-AU" w:eastAsia="en-AU"/>
        </w:rPr>
        <w:t xml:space="preserve"> 2017, Innovate Neurology 2017, World Diabetes and Endocrinology Summit-2017 and Pharmacology and </w:t>
      </w:r>
      <w:proofErr w:type="spellStart"/>
      <w:r w:rsidRPr="002C5AEB">
        <w:rPr>
          <w:rFonts w:eastAsia="Times New Roman"/>
          <w:bCs/>
          <w:color w:val="181512"/>
          <w:lang w:val="en-AU" w:eastAsia="en-AU"/>
        </w:rPr>
        <w:t>Ethnopharmacology</w:t>
      </w:r>
      <w:proofErr w:type="spellEnd"/>
      <w:r w:rsidRPr="002C5AEB">
        <w:rPr>
          <w:rFonts w:eastAsia="Times New Roman"/>
          <w:bCs/>
          <w:color w:val="181512"/>
          <w:lang w:val="en-AU" w:eastAsia="en-AU"/>
        </w:rPr>
        <w:t xml:space="preserve"> 2016. </w:t>
      </w:r>
    </w:p>
    <w:p w:rsidR="007D233A" w:rsidRPr="000B2191" w:rsidRDefault="007D233A" w:rsidP="000B2191">
      <w:pPr>
        <w:jc w:val="both"/>
        <w:rPr>
          <w:b/>
        </w:rPr>
      </w:pPr>
    </w:p>
    <w:sectPr w:rsidR="007D233A" w:rsidRPr="000B2191"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B0BA5"/>
    <w:multiLevelType w:val="hybridMultilevel"/>
    <w:tmpl w:val="4D74B868"/>
    <w:lvl w:ilvl="0" w:tplc="54EC4F18">
      <w:start w:val="1"/>
      <w:numFmt w:val="decimal"/>
      <w:lvlText w:val="%1."/>
      <w:lvlJc w:val="left"/>
      <w:pPr>
        <w:ind w:left="1080" w:hanging="720"/>
      </w:pPr>
      <w:rPr>
        <w:rFonts w:ascii="Times New Roman" w:hAnsi="Times New Roman" w:cs="Times New Roman" w:hint="default"/>
        <w:b w:val="0"/>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2227482"/>
    <w:multiLevelType w:val="hybridMultilevel"/>
    <w:tmpl w:val="4D74B868"/>
    <w:lvl w:ilvl="0" w:tplc="54EC4F18">
      <w:start w:val="1"/>
      <w:numFmt w:val="decimal"/>
      <w:lvlText w:val="%1."/>
      <w:lvlJc w:val="left"/>
      <w:pPr>
        <w:ind w:left="1080" w:hanging="720"/>
      </w:pPr>
      <w:rPr>
        <w:rFonts w:ascii="Times New Roman" w:hAnsi="Times New Roman" w:cs="Times New Roman" w:hint="default"/>
        <w:b w:val="0"/>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02D1C00"/>
    <w:multiLevelType w:val="hybridMultilevel"/>
    <w:tmpl w:val="8D7C667A"/>
    <w:lvl w:ilvl="0" w:tplc="54EC4F18">
      <w:start w:val="1"/>
      <w:numFmt w:val="decimal"/>
      <w:lvlText w:val="%1."/>
      <w:lvlJc w:val="left"/>
      <w:pPr>
        <w:ind w:left="1080" w:hanging="720"/>
      </w:pPr>
      <w:rPr>
        <w:rFonts w:ascii="Times New Roman" w:hAnsi="Times New Roman" w:cs="Times New Roman" w:hint="default"/>
        <w:b w:val="0"/>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79516AC"/>
    <w:multiLevelType w:val="hybridMultilevel"/>
    <w:tmpl w:val="4D74B868"/>
    <w:lvl w:ilvl="0" w:tplc="54EC4F18">
      <w:start w:val="1"/>
      <w:numFmt w:val="decimal"/>
      <w:lvlText w:val="%1."/>
      <w:lvlJc w:val="left"/>
      <w:pPr>
        <w:ind w:left="1080" w:hanging="720"/>
      </w:pPr>
      <w:rPr>
        <w:rFonts w:ascii="Times New Roman" w:hAnsi="Times New Roman" w:cs="Times New Roman" w:hint="default"/>
        <w:b w:val="0"/>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6475E8F"/>
    <w:multiLevelType w:val="hybridMultilevel"/>
    <w:tmpl w:val="4D74B868"/>
    <w:lvl w:ilvl="0" w:tplc="54EC4F18">
      <w:start w:val="1"/>
      <w:numFmt w:val="decimal"/>
      <w:lvlText w:val="%1."/>
      <w:lvlJc w:val="left"/>
      <w:pPr>
        <w:ind w:left="1080" w:hanging="720"/>
      </w:pPr>
      <w:rPr>
        <w:rFonts w:ascii="Times New Roman" w:hAnsi="Times New Roman" w:cs="Times New Roman" w:hint="default"/>
        <w:b w:val="0"/>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F232327"/>
    <w:multiLevelType w:val="hybridMultilevel"/>
    <w:tmpl w:val="4D74B868"/>
    <w:lvl w:ilvl="0" w:tplc="54EC4F18">
      <w:start w:val="1"/>
      <w:numFmt w:val="decimal"/>
      <w:lvlText w:val="%1."/>
      <w:lvlJc w:val="left"/>
      <w:pPr>
        <w:ind w:left="1080" w:hanging="720"/>
      </w:pPr>
      <w:rPr>
        <w:rFonts w:ascii="Times New Roman" w:hAnsi="Times New Roman" w:cs="Times New Roman" w:hint="default"/>
        <w:b w:val="0"/>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B2191"/>
    <w:rsid w:val="000D6718"/>
    <w:rsid w:val="001675DF"/>
    <w:rsid w:val="001B06AE"/>
    <w:rsid w:val="00265E72"/>
    <w:rsid w:val="002C359D"/>
    <w:rsid w:val="002C3D9B"/>
    <w:rsid w:val="002C5AEB"/>
    <w:rsid w:val="002D207F"/>
    <w:rsid w:val="002E6608"/>
    <w:rsid w:val="0031455A"/>
    <w:rsid w:val="00363668"/>
    <w:rsid w:val="00384441"/>
    <w:rsid w:val="003A3C5A"/>
    <w:rsid w:val="00437503"/>
    <w:rsid w:val="00441F91"/>
    <w:rsid w:val="004E62DD"/>
    <w:rsid w:val="004F0441"/>
    <w:rsid w:val="005B4B32"/>
    <w:rsid w:val="00624347"/>
    <w:rsid w:val="006359FA"/>
    <w:rsid w:val="00654259"/>
    <w:rsid w:val="006809B6"/>
    <w:rsid w:val="006D7730"/>
    <w:rsid w:val="007341F9"/>
    <w:rsid w:val="0078229D"/>
    <w:rsid w:val="007B0D32"/>
    <w:rsid w:val="007D00E7"/>
    <w:rsid w:val="007D233A"/>
    <w:rsid w:val="007D5AD0"/>
    <w:rsid w:val="007D65C7"/>
    <w:rsid w:val="008747F9"/>
    <w:rsid w:val="008E2F78"/>
    <w:rsid w:val="008E737B"/>
    <w:rsid w:val="00912F54"/>
    <w:rsid w:val="009E52D9"/>
    <w:rsid w:val="00A27F93"/>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46A2B"/>
    <w:rsid w:val="00D605F8"/>
    <w:rsid w:val="00D734FE"/>
    <w:rsid w:val="00D841B1"/>
    <w:rsid w:val="00DC433A"/>
    <w:rsid w:val="00DF18F2"/>
    <w:rsid w:val="00E44BE0"/>
    <w:rsid w:val="00E63452"/>
    <w:rsid w:val="00E75FDE"/>
    <w:rsid w:val="00ED2B89"/>
    <w:rsid w:val="00F074E2"/>
    <w:rsid w:val="00F72680"/>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57B06F-2FB0-49D1-8E4E-FA236768F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Emphasis">
    <w:name w:val="Emphasis"/>
    <w:uiPriority w:val="20"/>
    <w:qFormat/>
    <w:rsid w:val="006D7730"/>
    <w:rPr>
      <w:rFonts w:ascii="Arial" w:hAnsi="Arial"/>
      <w:b/>
      <w:spacing w:val="-8"/>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roij.com/neuroscience.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Ian MARTINS</cp:lastModifiedBy>
  <cp:revision>2</cp:revision>
  <dcterms:created xsi:type="dcterms:W3CDTF">2018-01-31T01:58:00Z</dcterms:created>
  <dcterms:modified xsi:type="dcterms:W3CDTF">2018-01-31T01:58:00Z</dcterms:modified>
</cp:coreProperties>
</file>