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EA" w:rsidRDefault="00A46AEA" w:rsidP="00A46AEA">
      <w:pPr>
        <w:tabs>
          <w:tab w:val="left" w:pos="3810"/>
        </w:tabs>
        <w:bidi w:val="0"/>
        <w:spacing w:before="240"/>
        <w:ind w:left="-142" w:right="-471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T</w:t>
      </w:r>
      <w:r w:rsidRPr="007D6041">
        <w:rPr>
          <w:rFonts w:asciiTheme="majorBidi" w:hAnsiTheme="majorBidi" w:cstheme="majorBidi"/>
          <w:b/>
          <w:bCs/>
          <w:sz w:val="28"/>
          <w:szCs w:val="28"/>
        </w:rPr>
        <w:t>he impact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B65614">
        <w:rPr>
          <w:rFonts w:asciiTheme="majorBidi" w:hAnsiTheme="majorBidi" w:cstheme="majorBidi"/>
          <w:b/>
          <w:bCs/>
          <w:sz w:val="28"/>
          <w:szCs w:val="28"/>
        </w:rPr>
        <w:t>of</w:t>
      </w:r>
      <w:r w:rsidRPr="007D6041">
        <w:rPr>
          <w:rFonts w:asciiTheme="majorBidi" w:hAnsiTheme="majorBidi" w:cstheme="majorBidi"/>
          <w:b/>
          <w:bCs/>
          <w:sz w:val="28"/>
          <w:szCs w:val="28"/>
        </w:rPr>
        <w:t xml:space="preserve"> donor and recipient</w:t>
      </w:r>
      <w:r w:rsidRPr="00B6561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8270FB">
        <w:rPr>
          <w:rFonts w:asciiTheme="majorBidi" w:hAnsiTheme="majorBidi" w:cstheme="majorBidi"/>
          <w:b/>
          <w:bCs/>
          <w:sz w:val="28"/>
          <w:szCs w:val="28"/>
        </w:rPr>
        <w:t>KIR genes and KIR ligands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B65614">
        <w:rPr>
          <w:rFonts w:asciiTheme="majorBidi" w:hAnsiTheme="majorBidi" w:cstheme="majorBidi"/>
          <w:b/>
          <w:bCs/>
          <w:sz w:val="28"/>
          <w:szCs w:val="28"/>
        </w:rPr>
        <w:t xml:space="preserve">on </w:t>
      </w:r>
      <w:r w:rsidRPr="00066E7B">
        <w:rPr>
          <w:rFonts w:asciiTheme="majorBidi" w:hAnsiTheme="majorBidi" w:cstheme="majorBidi"/>
          <w:b/>
          <w:bCs/>
          <w:sz w:val="28"/>
          <w:szCs w:val="28"/>
        </w:rPr>
        <w:t xml:space="preserve">the occurrence of acute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graft versus </w:t>
      </w:r>
      <w:r w:rsidRPr="002F165E">
        <w:rPr>
          <w:rFonts w:asciiTheme="majorBidi" w:hAnsiTheme="majorBidi" w:cstheme="majorBidi"/>
          <w:b/>
          <w:bCs/>
          <w:sz w:val="28"/>
          <w:szCs w:val="28"/>
        </w:rPr>
        <w:t xml:space="preserve">host disease </w:t>
      </w:r>
      <w:r w:rsidRPr="00066E7B">
        <w:rPr>
          <w:rFonts w:asciiTheme="majorBidi" w:hAnsiTheme="majorBidi" w:cstheme="majorBidi"/>
          <w:b/>
          <w:bCs/>
          <w:sz w:val="28"/>
          <w:szCs w:val="28"/>
        </w:rPr>
        <w:t xml:space="preserve">and </w:t>
      </w:r>
      <w:r>
        <w:rPr>
          <w:rFonts w:asciiTheme="majorBidi" w:hAnsiTheme="majorBidi" w:cstheme="majorBidi"/>
          <w:b/>
          <w:bCs/>
          <w:sz w:val="28"/>
          <w:szCs w:val="28"/>
        </w:rPr>
        <w:t>graft</w:t>
      </w:r>
      <w:r w:rsidRPr="00066E7B">
        <w:rPr>
          <w:rFonts w:asciiTheme="majorBidi" w:hAnsiTheme="majorBidi" w:cstheme="majorBidi"/>
          <w:b/>
          <w:bCs/>
          <w:sz w:val="28"/>
          <w:szCs w:val="28"/>
        </w:rPr>
        <w:t xml:space="preserve"> survival</w:t>
      </w:r>
      <w:r w:rsidRPr="00066E7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066E7B">
        <w:rPr>
          <w:rFonts w:asciiTheme="majorBidi" w:hAnsiTheme="majorBidi" w:cstheme="majorBidi"/>
          <w:b/>
          <w:bCs/>
          <w:sz w:val="28"/>
          <w:szCs w:val="28"/>
        </w:rPr>
        <w:t>after</w:t>
      </w:r>
      <w:r w:rsidRPr="00066E7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066E7B">
        <w:rPr>
          <w:rFonts w:asciiTheme="majorBidi" w:hAnsiTheme="majorBidi" w:cstheme="majorBidi"/>
          <w:b/>
          <w:bCs/>
          <w:sz w:val="28"/>
          <w:szCs w:val="28"/>
        </w:rPr>
        <w:t>HLA-identical sibling</w:t>
      </w:r>
      <w:r w:rsidRPr="00066E7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066E7B">
        <w:rPr>
          <w:rFonts w:asciiTheme="majorBidi" w:hAnsiTheme="majorBidi" w:cstheme="majorBidi"/>
          <w:b/>
          <w:bCs/>
          <w:sz w:val="28"/>
          <w:szCs w:val="28"/>
        </w:rPr>
        <w:t>hematopoietic stem cell transplantation</w:t>
      </w:r>
    </w:p>
    <w:p w:rsidR="00A46AEA" w:rsidRPr="00066E7B" w:rsidRDefault="00A46AEA" w:rsidP="00A46AE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066E7B">
        <w:rPr>
          <w:rFonts w:asciiTheme="majorBidi" w:hAnsiTheme="majorBidi" w:cstheme="majorBidi"/>
          <w:sz w:val="24"/>
          <w:szCs w:val="24"/>
        </w:rPr>
        <w:t>Davood</w:t>
      </w:r>
      <w:proofErr w:type="spellEnd"/>
      <w:r w:rsidRPr="00066E7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66E7B">
        <w:rPr>
          <w:rFonts w:asciiTheme="majorBidi" w:hAnsiTheme="majorBidi" w:cstheme="majorBidi"/>
          <w:sz w:val="24"/>
          <w:szCs w:val="24"/>
        </w:rPr>
        <w:t>Jafari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66E7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4C79C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Seyed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66E7B">
        <w:rPr>
          <w:rFonts w:asciiTheme="majorBidi" w:hAnsiTheme="majorBidi" w:cstheme="majorBidi"/>
          <w:sz w:val="24"/>
          <w:szCs w:val="24"/>
        </w:rPr>
        <w:t xml:space="preserve">Ahmad </w:t>
      </w:r>
      <w:proofErr w:type="spellStart"/>
      <w:r w:rsidRPr="00066E7B">
        <w:rPr>
          <w:rFonts w:asciiTheme="majorBidi" w:hAnsiTheme="majorBidi" w:cstheme="majorBidi"/>
          <w:sz w:val="24"/>
          <w:szCs w:val="24"/>
        </w:rPr>
        <w:t>Hoseinian</w:t>
      </w:r>
      <w:proofErr w:type="spellEnd"/>
      <w:r w:rsidRPr="00066E7B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066E7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066E7B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Mehdi Mahmoodi</w:t>
      </w:r>
      <w:r w:rsidRPr="004C79C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>,</w:t>
      </w:r>
      <w:r w:rsidRPr="00066E7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Kamran Alim</w:t>
      </w:r>
      <w:r w:rsidRPr="007D46B7">
        <w:rPr>
          <w:rFonts w:asciiTheme="majorBidi" w:hAnsiTheme="majorBidi" w:cstheme="majorBidi"/>
          <w:sz w:val="24"/>
          <w:szCs w:val="24"/>
        </w:rPr>
        <w:t>ogha</w:t>
      </w:r>
      <w:r>
        <w:rPr>
          <w:rFonts w:asciiTheme="majorBidi" w:hAnsiTheme="majorBidi" w:cstheme="majorBidi"/>
          <w:sz w:val="24"/>
          <w:szCs w:val="24"/>
        </w:rPr>
        <w:t>d</w:t>
      </w:r>
      <w:r w:rsidRPr="007D46B7">
        <w:rPr>
          <w:rFonts w:asciiTheme="majorBidi" w:hAnsiTheme="majorBidi" w:cstheme="majorBidi"/>
          <w:sz w:val="24"/>
          <w:szCs w:val="24"/>
        </w:rPr>
        <w:t>dam</w:t>
      </w:r>
      <w:r w:rsidRPr="007D46B7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7D46B7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Mohammadreza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Ostadali</w:t>
      </w:r>
      <w:r w:rsidRPr="00C230FF"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D46B7">
        <w:rPr>
          <w:rFonts w:asciiTheme="majorBidi" w:hAnsiTheme="majorBidi" w:cstheme="majorBidi"/>
          <w:sz w:val="24"/>
          <w:szCs w:val="24"/>
        </w:rPr>
        <w:t>Azita</w:t>
      </w:r>
      <w:proofErr w:type="spellEnd"/>
      <w:r w:rsidRPr="007D46B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D46B7">
        <w:rPr>
          <w:rFonts w:asciiTheme="majorBidi" w:hAnsiTheme="majorBidi" w:cstheme="majorBidi"/>
          <w:sz w:val="24"/>
          <w:szCs w:val="24"/>
        </w:rPr>
        <w:t>Talebzadeh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Bonakdar</w:t>
      </w:r>
      <w:r w:rsidRPr="007D46B7"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 , Arron </w:t>
      </w:r>
      <w:proofErr w:type="spellStart"/>
      <w:r>
        <w:rPr>
          <w:rFonts w:asciiTheme="majorBidi" w:hAnsiTheme="majorBidi" w:cstheme="majorBidi"/>
          <w:sz w:val="24"/>
          <w:szCs w:val="24"/>
        </w:rPr>
        <w:t>Munggela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Foma</w:t>
      </w:r>
      <w:r>
        <w:rPr>
          <w:rFonts w:asciiTheme="majorBidi" w:hAnsiTheme="majorBidi" w:cstheme="majorBidi"/>
          <w:sz w:val="24"/>
          <w:szCs w:val="24"/>
          <w:vertAlign w:val="superscript"/>
        </w:rPr>
        <w:t>4,5</w:t>
      </w:r>
      <w:r>
        <w:rPr>
          <w:rFonts w:asciiTheme="majorBidi" w:hAnsiTheme="majorBidi" w:cstheme="majorBidi"/>
          <w:sz w:val="24"/>
          <w:szCs w:val="24"/>
        </w:rPr>
        <w:t>, Mir Saeed Yekaninejad</w:t>
      </w:r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66E7B">
        <w:rPr>
          <w:rFonts w:asciiTheme="majorBidi" w:hAnsiTheme="majorBidi" w:cstheme="majorBidi"/>
          <w:sz w:val="24"/>
          <w:szCs w:val="24"/>
        </w:rPr>
        <w:t>Ali Akbar Amirzargar</w:t>
      </w:r>
      <w:r w:rsidRPr="00066E7B">
        <w:rPr>
          <w:rFonts w:asciiTheme="majorBidi" w:hAnsiTheme="majorBidi" w:cstheme="majorBidi"/>
          <w:sz w:val="24"/>
          <w:szCs w:val="24"/>
          <w:vertAlign w:val="superscript"/>
        </w:rPr>
        <w:t>1,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066E7B">
        <w:rPr>
          <w:rFonts w:asciiTheme="majorBidi" w:hAnsiTheme="majorBidi" w:cstheme="majorBidi"/>
          <w:sz w:val="24"/>
          <w:szCs w:val="24"/>
        </w:rPr>
        <w:t>*</w:t>
      </w:r>
    </w:p>
    <w:p w:rsidR="00A46AEA" w:rsidRPr="00774836" w:rsidRDefault="00A46AEA" w:rsidP="00A46AEA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46AEA" w:rsidRPr="004C79C2" w:rsidRDefault="00A46AEA" w:rsidP="00A46A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0"/>
          <w:szCs w:val="20"/>
        </w:rPr>
      </w:pPr>
      <w:r w:rsidRPr="004C79C2">
        <w:rPr>
          <w:rFonts w:asciiTheme="majorBidi" w:hAnsiTheme="majorBidi" w:cstheme="majorBidi"/>
          <w:sz w:val="20"/>
          <w:szCs w:val="20"/>
        </w:rPr>
        <w:t>Department of Immunology, School of Medicine, Tehran University of Medical Sciences, Tehran, Iran</w:t>
      </w:r>
    </w:p>
    <w:p w:rsidR="00A46AEA" w:rsidRPr="004C79C2" w:rsidRDefault="00A46AEA" w:rsidP="00A46A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Rheumatology Research Center</w:t>
      </w:r>
      <w:r w:rsidRPr="004C79C2">
        <w:rPr>
          <w:rFonts w:asciiTheme="majorBidi" w:hAnsiTheme="majorBidi" w:cstheme="majorBidi"/>
          <w:sz w:val="20"/>
          <w:szCs w:val="20"/>
        </w:rPr>
        <w:t>,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4C79C2">
        <w:rPr>
          <w:rFonts w:asciiTheme="majorBidi" w:hAnsiTheme="majorBidi" w:cstheme="majorBidi"/>
          <w:sz w:val="20"/>
          <w:szCs w:val="20"/>
        </w:rPr>
        <w:t>Tehran University of Medical Sciences, Tehran, Iran</w:t>
      </w:r>
    </w:p>
    <w:p w:rsidR="00A46AEA" w:rsidRDefault="00A46AEA" w:rsidP="00A46A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Hematology, Oncology and Stem cell</w:t>
      </w:r>
      <w:r w:rsidRPr="004C79C2">
        <w:rPr>
          <w:rFonts w:asciiTheme="majorBidi" w:hAnsiTheme="majorBidi" w:cstheme="majorBidi"/>
          <w:sz w:val="20"/>
          <w:szCs w:val="20"/>
        </w:rPr>
        <w:t xml:space="preserve"> Transplant</w:t>
      </w:r>
      <w:r>
        <w:rPr>
          <w:rFonts w:asciiTheme="majorBidi" w:hAnsiTheme="majorBidi" w:cstheme="majorBidi"/>
          <w:sz w:val="20"/>
          <w:szCs w:val="20"/>
        </w:rPr>
        <w:t xml:space="preserve">ation Research </w:t>
      </w:r>
      <w:r w:rsidRPr="004C79C2">
        <w:rPr>
          <w:rFonts w:asciiTheme="majorBidi" w:hAnsiTheme="majorBidi" w:cstheme="majorBidi"/>
          <w:sz w:val="20"/>
          <w:szCs w:val="20"/>
        </w:rPr>
        <w:t>Center, Tehran University of Medical Sciences, Tehran, Iran</w:t>
      </w:r>
    </w:p>
    <w:p w:rsidR="00A46AEA" w:rsidRDefault="00A46AEA" w:rsidP="00A46A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0"/>
          <w:szCs w:val="20"/>
        </w:rPr>
      </w:pPr>
      <w:r w:rsidRPr="00066E7B">
        <w:rPr>
          <w:rFonts w:asciiTheme="majorBidi" w:hAnsiTheme="majorBidi" w:cstheme="majorBidi"/>
          <w:sz w:val="20"/>
          <w:szCs w:val="20"/>
        </w:rPr>
        <w:t>Molecular Immunology Resear</w:t>
      </w:r>
      <w:bookmarkStart w:id="0" w:name="_GoBack"/>
      <w:bookmarkEnd w:id="0"/>
      <w:r w:rsidRPr="00066E7B">
        <w:rPr>
          <w:rFonts w:asciiTheme="majorBidi" w:hAnsiTheme="majorBidi" w:cstheme="majorBidi"/>
          <w:sz w:val="20"/>
          <w:szCs w:val="20"/>
        </w:rPr>
        <w:t>ch Center, Tehran University of Medical Sciences, Tehran, Iran</w:t>
      </w:r>
    </w:p>
    <w:p w:rsidR="00A46AEA" w:rsidRPr="00501CC0" w:rsidRDefault="00A46AEA" w:rsidP="00A46A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0"/>
          <w:szCs w:val="20"/>
        </w:rPr>
      </w:pPr>
      <w:r w:rsidRPr="004C79C2">
        <w:rPr>
          <w:rFonts w:asciiTheme="majorBidi" w:hAnsiTheme="majorBidi" w:cstheme="majorBidi"/>
          <w:sz w:val="20"/>
          <w:szCs w:val="20"/>
        </w:rPr>
        <w:t>Department of Immunology, School of Medicine, Tehran University of Medical Sciences</w:t>
      </w:r>
      <w:r>
        <w:rPr>
          <w:rFonts w:asciiTheme="majorBidi" w:hAnsiTheme="majorBidi" w:cstheme="majorBidi"/>
          <w:sz w:val="20"/>
          <w:szCs w:val="20"/>
        </w:rPr>
        <w:t>-International Campus</w:t>
      </w:r>
      <w:r w:rsidRPr="004C79C2">
        <w:rPr>
          <w:rFonts w:asciiTheme="majorBidi" w:hAnsiTheme="majorBidi" w:cstheme="majorBidi"/>
          <w:sz w:val="20"/>
          <w:szCs w:val="20"/>
        </w:rPr>
        <w:t>, Tehran, Iran</w:t>
      </w:r>
    </w:p>
    <w:p w:rsidR="00A46AEA" w:rsidRPr="004C79C2" w:rsidRDefault="00A46AEA" w:rsidP="00A46A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0"/>
          <w:szCs w:val="20"/>
        </w:rPr>
      </w:pPr>
      <w:r w:rsidRPr="00773ADF">
        <w:rPr>
          <w:rFonts w:asciiTheme="majorBidi" w:hAnsiTheme="majorBidi" w:cstheme="majorBidi"/>
          <w:sz w:val="20"/>
          <w:szCs w:val="20"/>
        </w:rPr>
        <w:t>Department of Biostatistics, School of Public Health, Tehran University of Medical Sciences, Tehran, Iran</w:t>
      </w:r>
    </w:p>
    <w:p w:rsidR="00A46AEA" w:rsidRDefault="00A46AEA" w:rsidP="00A46AEA">
      <w:pPr>
        <w:autoSpaceDE w:val="0"/>
        <w:autoSpaceDN w:val="0"/>
        <w:bidi w:val="0"/>
        <w:adjustRightInd w:val="0"/>
        <w:spacing w:before="240" w:after="1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07FBD"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A46AEA" w:rsidRDefault="00A46AEA" w:rsidP="00A46AEA">
      <w:pPr>
        <w:autoSpaceDE w:val="0"/>
        <w:autoSpaceDN w:val="0"/>
        <w:bidi w:val="0"/>
        <w:adjustRightInd w:val="0"/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AB58A2">
        <w:rPr>
          <w:rFonts w:asciiTheme="majorBidi" w:hAnsiTheme="majorBidi" w:cstheme="majorBidi"/>
          <w:b/>
          <w:bCs/>
          <w:sz w:val="24"/>
          <w:szCs w:val="24"/>
        </w:rPr>
        <w:t>Background/aim:</w:t>
      </w:r>
      <w:r w:rsidRPr="00AB58A2">
        <w:rPr>
          <w:rFonts w:asciiTheme="majorBidi" w:hAnsiTheme="majorBidi" w:cstheme="majorBidi"/>
          <w:sz w:val="24"/>
          <w:szCs w:val="24"/>
        </w:rPr>
        <w:t xml:space="preserve"> </w:t>
      </w:r>
      <w:r w:rsidRPr="002A3FD8">
        <w:rPr>
          <w:rFonts w:asciiTheme="majorBidi" w:hAnsiTheme="majorBidi" w:cstheme="majorBidi"/>
          <w:sz w:val="24"/>
          <w:szCs w:val="24"/>
        </w:rPr>
        <w:t>After allogeneic hematopoietic stem cell transplantation (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allo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-HSCT), donor natural killer (NK) cells trigger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alloreactions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 against potential recipient cells by their killer immunoglobulin-like receptors (KIRs). This study investigated whether KIR/HLA genotypes and KIR haplotypes of donor and recipient exhibit a critical function in the prevalence of acute graft versus host disease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aGVHD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 and persistence of the graft after HLA-identical sibling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allo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-HSCT for patients with hematological malignancies. </w:t>
      </w:r>
    </w:p>
    <w:p w:rsidR="00A46AEA" w:rsidRDefault="00A46AEA" w:rsidP="00A46AEA">
      <w:pPr>
        <w:autoSpaceDE w:val="0"/>
        <w:autoSpaceDN w:val="0"/>
        <w:bidi w:val="0"/>
        <w:adjustRightInd w:val="0"/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AB58A2">
        <w:rPr>
          <w:rFonts w:asciiTheme="majorBidi" w:hAnsiTheme="majorBidi" w:cstheme="majorBidi"/>
          <w:b/>
          <w:bCs/>
          <w:sz w:val="24"/>
          <w:szCs w:val="24"/>
        </w:rPr>
        <w:t>Materials and methods:</w:t>
      </w:r>
      <w:r w:rsidRPr="00AB58A2">
        <w:rPr>
          <w:rFonts w:asciiTheme="majorBidi" w:hAnsiTheme="majorBidi" w:cstheme="majorBidi"/>
          <w:sz w:val="24"/>
          <w:szCs w:val="24"/>
        </w:rPr>
        <w:t xml:space="preserve"> </w:t>
      </w:r>
      <w:r w:rsidRPr="002A3FD8">
        <w:rPr>
          <w:rFonts w:asciiTheme="majorBidi" w:hAnsiTheme="majorBidi" w:cstheme="majorBidi"/>
          <w:sz w:val="24"/>
          <w:szCs w:val="24"/>
        </w:rPr>
        <w:t xml:space="preserve">We studied KIR and HLA genotypes in 115 relative donors and recipients (56 patients with AML and 59 patients with ALL) who had received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allo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-HSCT from HLA-matched sibling donors. We evaluated 17 KIR genes and some alleles, including their ligands using PCR-SSP assay. </w:t>
      </w:r>
    </w:p>
    <w:p w:rsidR="00A46AEA" w:rsidRDefault="00A46AEA" w:rsidP="00A46AEA">
      <w:pPr>
        <w:autoSpaceDE w:val="0"/>
        <w:autoSpaceDN w:val="0"/>
        <w:bidi w:val="0"/>
        <w:adjustRightInd w:val="0"/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AB58A2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AB58A2">
        <w:rPr>
          <w:rFonts w:asciiTheme="majorBidi" w:hAnsiTheme="majorBidi" w:cstheme="majorBidi"/>
          <w:sz w:val="24"/>
          <w:szCs w:val="24"/>
        </w:rPr>
        <w:t xml:space="preserve"> </w:t>
      </w:r>
      <w:r w:rsidRPr="002A3FD8">
        <w:rPr>
          <w:rFonts w:asciiTheme="majorBidi" w:hAnsiTheme="majorBidi" w:cstheme="majorBidi"/>
          <w:sz w:val="24"/>
          <w:szCs w:val="24"/>
        </w:rPr>
        <w:t>KIR gene frequency results between D/R showed that donors had more activating KIR than their recipients. Chi-square comparison of KIR Genotype frequencies in donors versus recipients revealed a significant difference (P&lt;0.001). We found a survival association between the donor lacking and the recipient having group B KIR haplotypes, although the data was not statistically significant.</w:t>
      </w:r>
    </w:p>
    <w:p w:rsidR="00A46AEA" w:rsidRDefault="00A46AEA" w:rsidP="00A46AEA">
      <w:pPr>
        <w:autoSpaceDE w:val="0"/>
        <w:autoSpaceDN w:val="0"/>
        <w:bidi w:val="0"/>
        <w:adjustRightInd w:val="0"/>
        <w:spacing w:after="120"/>
        <w:jc w:val="both"/>
        <w:rPr>
          <w:rFonts w:asciiTheme="majorBidi" w:hAnsiTheme="majorBidi" w:cstheme="majorBidi"/>
          <w:sz w:val="24"/>
          <w:szCs w:val="24"/>
        </w:rPr>
      </w:pPr>
      <w:r w:rsidRPr="00AB58A2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2A3FD8">
        <w:rPr>
          <w:rFonts w:asciiTheme="majorBidi" w:hAnsiTheme="majorBidi" w:cstheme="majorBidi"/>
          <w:sz w:val="24"/>
          <w:szCs w:val="24"/>
        </w:rPr>
        <w:t xml:space="preserve"> This study suggests that we could exploit NK cell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alloreactivity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 as a part of the optimization of donor selection and potential immunotherapeutic regimens to help facilitate good engraftment, and reduce the risk of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aGVHD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 xml:space="preserve"> incidence after </w:t>
      </w:r>
      <w:proofErr w:type="spellStart"/>
      <w:r w:rsidRPr="002A3FD8">
        <w:rPr>
          <w:rFonts w:asciiTheme="majorBidi" w:hAnsiTheme="majorBidi" w:cstheme="majorBidi"/>
          <w:sz w:val="24"/>
          <w:szCs w:val="24"/>
        </w:rPr>
        <w:t>allo</w:t>
      </w:r>
      <w:proofErr w:type="spellEnd"/>
      <w:r w:rsidRPr="002A3FD8">
        <w:rPr>
          <w:rFonts w:asciiTheme="majorBidi" w:hAnsiTheme="majorBidi" w:cstheme="majorBidi"/>
          <w:sz w:val="24"/>
          <w:szCs w:val="24"/>
        </w:rPr>
        <w:t>-HSCT.</w:t>
      </w:r>
    </w:p>
    <w:p w:rsidR="00C93DA6" w:rsidRPr="00A46AEA" w:rsidRDefault="00A46AEA" w:rsidP="00A46AEA">
      <w:pPr>
        <w:autoSpaceDE w:val="0"/>
        <w:autoSpaceDN w:val="0"/>
        <w:bidi w:val="0"/>
        <w:adjustRightInd w:val="0"/>
        <w:spacing w:after="120"/>
        <w:rPr>
          <w:rFonts w:asciiTheme="majorBidi" w:hAnsiTheme="majorBidi" w:cstheme="majorBidi"/>
          <w:sz w:val="24"/>
          <w:szCs w:val="24"/>
          <w:lang w:val="en-GB"/>
        </w:rPr>
      </w:pPr>
      <w:r w:rsidRPr="00066E7B">
        <w:rPr>
          <w:rFonts w:asciiTheme="majorBidi" w:hAnsiTheme="majorBidi" w:cstheme="majorBidi"/>
          <w:b/>
          <w:bCs/>
          <w:sz w:val="24"/>
          <w:szCs w:val="24"/>
          <w:lang w:bidi="ar-SA"/>
        </w:rPr>
        <w:t>Keywords</w:t>
      </w:r>
      <w:r w:rsidRPr="00066E7B">
        <w:rPr>
          <w:rFonts w:asciiTheme="majorBidi" w:hAnsiTheme="majorBidi" w:cstheme="majorBidi"/>
          <w:sz w:val="24"/>
          <w:szCs w:val="24"/>
          <w:lang w:bidi="ar-SA"/>
        </w:rPr>
        <w:t xml:space="preserve">: KIR; </w:t>
      </w:r>
      <w:r>
        <w:rPr>
          <w:rFonts w:asciiTheme="majorBidi" w:hAnsiTheme="majorBidi" w:cstheme="majorBidi"/>
          <w:sz w:val="24"/>
          <w:szCs w:val="24"/>
          <w:lang w:bidi="ar-SA"/>
        </w:rPr>
        <w:t>HLA</w:t>
      </w:r>
      <w:r w:rsidRPr="00066E7B">
        <w:rPr>
          <w:rFonts w:asciiTheme="majorBidi" w:hAnsiTheme="majorBidi" w:cstheme="majorBidi"/>
          <w:sz w:val="24"/>
          <w:szCs w:val="24"/>
          <w:lang w:bidi="ar-SA"/>
        </w:rPr>
        <w:t xml:space="preserve">; </w:t>
      </w:r>
      <w:r w:rsidRPr="00380EF1">
        <w:rPr>
          <w:rFonts w:asciiTheme="majorBidi" w:hAnsiTheme="majorBidi" w:cstheme="majorBidi"/>
          <w:sz w:val="24"/>
          <w:szCs w:val="24"/>
          <w:lang w:bidi="ar-SA"/>
        </w:rPr>
        <w:t>allogeneic hematopoietic stem cell transplantation</w:t>
      </w:r>
      <w:r w:rsidRPr="00066E7B">
        <w:rPr>
          <w:rFonts w:asciiTheme="majorBidi" w:hAnsiTheme="majorBidi" w:cs="Times New Roman"/>
          <w:sz w:val="24"/>
          <w:szCs w:val="24"/>
          <w:rtl/>
          <w:lang w:bidi="ar-SA"/>
        </w:rPr>
        <w:t>;</w:t>
      </w:r>
      <w:r w:rsidRPr="00066E7B">
        <w:rPr>
          <w:rFonts w:asciiTheme="majorBidi" w:hAnsiTheme="majorBidi" w:cs="Times New Roman"/>
          <w:sz w:val="24"/>
          <w:szCs w:val="24"/>
          <w:lang w:bidi="ar-SA"/>
        </w:rPr>
        <w:t xml:space="preserve"> </w:t>
      </w:r>
      <w:r w:rsidRPr="00066E7B">
        <w:rPr>
          <w:rFonts w:asciiTheme="majorBidi" w:hAnsiTheme="majorBidi" w:cstheme="majorBidi"/>
          <w:sz w:val="24"/>
          <w:szCs w:val="24"/>
          <w:lang w:val="en-GB"/>
        </w:rPr>
        <w:t>graft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066E7B">
        <w:rPr>
          <w:rFonts w:asciiTheme="majorBidi" w:hAnsiTheme="majorBidi" w:cstheme="majorBidi"/>
          <w:sz w:val="24"/>
          <w:szCs w:val="24"/>
          <w:lang w:val="en-GB"/>
        </w:rPr>
        <w:t>versus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066E7B">
        <w:rPr>
          <w:rFonts w:asciiTheme="majorBidi" w:hAnsiTheme="majorBidi" w:cstheme="majorBidi"/>
          <w:sz w:val="24"/>
          <w:szCs w:val="24"/>
          <w:lang w:val="en-GB"/>
        </w:rPr>
        <w:t>host disease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sectPr w:rsidR="00C93DA6" w:rsidRPr="00A46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5A45FE"/>
    <w:multiLevelType w:val="hybridMultilevel"/>
    <w:tmpl w:val="AB36A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EA"/>
    <w:rsid w:val="009C134A"/>
    <w:rsid w:val="00A46AEA"/>
    <w:rsid w:val="00C6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B0E1B-B8A1-40F2-97CE-34E82685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AEA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AEA"/>
    <w:pPr>
      <w:bidi w:val="0"/>
      <w:ind w:left="720"/>
      <w:contextualSpacing/>
    </w:pPr>
    <w:rPr>
      <w:lang w:bidi="ar-SA"/>
    </w:rPr>
  </w:style>
  <w:style w:type="character" w:styleId="Hyperlink">
    <w:name w:val="Hyperlink"/>
    <w:basedOn w:val="DefaultParagraphFont"/>
    <w:uiPriority w:val="99"/>
    <w:unhideWhenUsed/>
    <w:rsid w:val="00A46AEA"/>
    <w:rPr>
      <w:color w:val="0563C1" w:themeColor="hyperlink"/>
      <w:u w:val="single"/>
    </w:rPr>
  </w:style>
  <w:style w:type="paragraph" w:customStyle="1" w:styleId="KeinLeerraum">
    <w:name w:val="Kein Leerraum"/>
    <w:uiPriority w:val="1"/>
    <w:qFormat/>
    <w:rsid w:val="00A46AEA"/>
    <w:pPr>
      <w:bidi/>
      <w:spacing w:after="0" w:line="240" w:lineRule="auto"/>
    </w:pPr>
    <w:rPr>
      <w:rFonts w:ascii="Calibri" w:eastAsia="Calibri" w:hAnsi="Calibri" w:cs="Courier New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1</cp:revision>
  <dcterms:created xsi:type="dcterms:W3CDTF">2018-01-19T14:23:00Z</dcterms:created>
  <dcterms:modified xsi:type="dcterms:W3CDTF">2018-01-19T14:25:00Z</dcterms:modified>
</cp:coreProperties>
</file>