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22" w:rsidRDefault="00604222" w:rsidP="00604222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  <w:lang w:val="en-US"/>
        </w:rPr>
      </w:pPr>
      <w:r w:rsidRPr="009E2F23">
        <w:rPr>
          <w:rFonts w:ascii="Arial Narrow" w:hAnsi="Arial Narrow"/>
          <w:b/>
          <w:sz w:val="24"/>
          <w:szCs w:val="24"/>
          <w:lang w:val="en-US"/>
        </w:rPr>
        <w:t>PROTEOMIC ANALYSIS OF THE INTERACTION BETWEEN PROBIOTICS ISOLATED FROM BREAST MILK AND DENDRITIC CELLS</w:t>
      </w:r>
    </w:p>
    <w:p w:rsidR="00604222" w:rsidRDefault="00604222" w:rsidP="00604222">
      <w:pPr>
        <w:spacing w:after="0" w:line="240" w:lineRule="auto"/>
        <w:jc w:val="center"/>
        <w:rPr>
          <w:rFonts w:ascii="Arial Narrow" w:hAnsi="Arial Narrow"/>
          <w:sz w:val="20"/>
          <w:szCs w:val="20"/>
          <w:lang w:val="es-ES"/>
        </w:rPr>
      </w:pPr>
      <w:r w:rsidRPr="00604222">
        <w:rPr>
          <w:rFonts w:ascii="Arial Narrow" w:hAnsi="Arial Narrow"/>
          <w:sz w:val="20"/>
          <w:szCs w:val="20"/>
          <w:lang w:val="es-ES"/>
        </w:rPr>
        <w:t>Álvarez De León LE</w:t>
      </w:r>
      <w:r w:rsidRPr="00604222">
        <w:rPr>
          <w:rFonts w:ascii="Arial Narrow" w:hAnsi="Arial Narrow"/>
          <w:sz w:val="20"/>
          <w:szCs w:val="20"/>
          <w:vertAlign w:val="superscript"/>
          <w:lang w:val="es-ES"/>
        </w:rPr>
        <w:t>1</w:t>
      </w:r>
      <w:r w:rsidRPr="00604222">
        <w:rPr>
          <w:rFonts w:ascii="Arial Narrow" w:hAnsi="Arial Narrow"/>
          <w:sz w:val="20"/>
          <w:szCs w:val="20"/>
          <w:lang w:val="es-ES"/>
        </w:rPr>
        <w:t>, Castillo Hern</w:t>
      </w:r>
      <w:r>
        <w:rPr>
          <w:rFonts w:ascii="Arial Narrow" w:hAnsi="Arial Narrow"/>
          <w:sz w:val="20"/>
          <w:szCs w:val="20"/>
          <w:lang w:val="es-ES"/>
        </w:rPr>
        <w:t>ández JR</w:t>
      </w:r>
      <w:r>
        <w:rPr>
          <w:rFonts w:ascii="Arial Narrow" w:hAnsi="Arial Narrow"/>
          <w:sz w:val="20"/>
          <w:szCs w:val="20"/>
          <w:vertAlign w:val="superscript"/>
          <w:lang w:val="es-ES"/>
        </w:rPr>
        <w:t>1</w:t>
      </w:r>
      <w:r>
        <w:rPr>
          <w:rFonts w:ascii="Arial Narrow" w:hAnsi="Arial Narrow"/>
          <w:sz w:val="20"/>
          <w:szCs w:val="20"/>
          <w:lang w:val="es-ES"/>
        </w:rPr>
        <w:t>, Maldonado Cervantes MI</w:t>
      </w:r>
      <w:r>
        <w:rPr>
          <w:rFonts w:ascii="Arial Narrow" w:hAnsi="Arial Narrow"/>
          <w:sz w:val="20"/>
          <w:szCs w:val="20"/>
          <w:vertAlign w:val="superscript"/>
          <w:lang w:val="es-ES"/>
        </w:rPr>
        <w:t>1</w:t>
      </w:r>
      <w:r>
        <w:rPr>
          <w:rFonts w:ascii="Arial Narrow" w:hAnsi="Arial Narrow"/>
          <w:sz w:val="20"/>
          <w:szCs w:val="20"/>
          <w:lang w:val="es-ES"/>
        </w:rPr>
        <w:t>, García Rangel M</w:t>
      </w:r>
      <w:r>
        <w:rPr>
          <w:rFonts w:ascii="Arial Narrow" w:hAnsi="Arial Narrow"/>
          <w:sz w:val="20"/>
          <w:szCs w:val="20"/>
          <w:vertAlign w:val="superscript"/>
          <w:lang w:val="es-ES"/>
        </w:rPr>
        <w:t>1</w:t>
      </w:r>
      <w:r>
        <w:rPr>
          <w:rFonts w:ascii="Arial Narrow" w:hAnsi="Arial Narrow"/>
          <w:sz w:val="20"/>
          <w:szCs w:val="20"/>
          <w:lang w:val="es-ES"/>
        </w:rPr>
        <w:t>, Maldonado Cervantes E</w:t>
      </w:r>
      <w:r>
        <w:rPr>
          <w:rFonts w:ascii="Arial Narrow" w:hAnsi="Arial Narrow"/>
          <w:sz w:val="20"/>
          <w:szCs w:val="20"/>
          <w:vertAlign w:val="superscript"/>
          <w:lang w:val="es-ES"/>
        </w:rPr>
        <w:t>1</w:t>
      </w:r>
      <w:r>
        <w:rPr>
          <w:rFonts w:ascii="Arial Narrow" w:hAnsi="Arial Narrow"/>
          <w:sz w:val="20"/>
          <w:szCs w:val="20"/>
          <w:lang w:val="es-ES"/>
        </w:rPr>
        <w:t>.</w:t>
      </w:r>
    </w:p>
    <w:p w:rsidR="00604222" w:rsidRDefault="00604222" w:rsidP="00604222">
      <w:pPr>
        <w:spacing w:after="0" w:line="240" w:lineRule="auto"/>
        <w:jc w:val="center"/>
        <w:rPr>
          <w:rFonts w:ascii="Arial Narrow" w:hAnsi="Arial Narrow"/>
          <w:sz w:val="20"/>
          <w:szCs w:val="20"/>
          <w:lang w:val="es-ES"/>
        </w:rPr>
      </w:pPr>
      <w:r w:rsidRPr="00447CCF">
        <w:rPr>
          <w:rFonts w:ascii="Arial Narrow" w:hAnsi="Arial Narrow"/>
          <w:sz w:val="20"/>
          <w:szCs w:val="20"/>
          <w:vertAlign w:val="superscript"/>
          <w:lang w:val="es-ES"/>
        </w:rPr>
        <w:t>1</w:t>
      </w:r>
      <w:r w:rsidRPr="00447CCF">
        <w:rPr>
          <w:rFonts w:ascii="Arial Narrow" w:hAnsi="Arial Narrow"/>
          <w:sz w:val="20"/>
          <w:szCs w:val="20"/>
          <w:lang w:val="es-ES"/>
        </w:rPr>
        <w:t xml:space="preserve">Laboratory of Biomedicine, School of Nursing, </w:t>
      </w:r>
      <w:r w:rsidRPr="00604222">
        <w:rPr>
          <w:rFonts w:ascii="Arial Narrow" w:hAnsi="Arial Narrow"/>
          <w:sz w:val="20"/>
          <w:szCs w:val="20"/>
          <w:lang w:val="es-ES"/>
        </w:rPr>
        <w:t xml:space="preserve">Universidad Autónoma de San Luis Potosí. Carretera </w:t>
      </w:r>
      <w:proofErr w:type="spellStart"/>
      <w:r w:rsidRPr="00604222">
        <w:rPr>
          <w:rFonts w:ascii="Arial Narrow" w:hAnsi="Arial Narrow"/>
          <w:sz w:val="20"/>
          <w:szCs w:val="20"/>
          <w:lang w:val="es-ES"/>
        </w:rPr>
        <w:t>Rioverde</w:t>
      </w:r>
      <w:proofErr w:type="spellEnd"/>
      <w:r w:rsidRPr="00604222">
        <w:rPr>
          <w:rFonts w:ascii="Arial Narrow" w:hAnsi="Arial Narrow"/>
          <w:sz w:val="20"/>
          <w:szCs w:val="20"/>
          <w:lang w:val="es-ES"/>
        </w:rPr>
        <w:t xml:space="preserve">-San Ciro Km 4. C.P. 79610. </w:t>
      </w:r>
      <w:proofErr w:type="spellStart"/>
      <w:r w:rsidRPr="00604222">
        <w:rPr>
          <w:rFonts w:ascii="Arial Narrow" w:hAnsi="Arial Narrow"/>
          <w:sz w:val="20"/>
          <w:szCs w:val="20"/>
          <w:lang w:val="es-ES"/>
        </w:rPr>
        <w:t>Rioverde</w:t>
      </w:r>
      <w:proofErr w:type="spellEnd"/>
      <w:r w:rsidRPr="00604222">
        <w:rPr>
          <w:rFonts w:ascii="Arial Narrow" w:hAnsi="Arial Narrow"/>
          <w:sz w:val="20"/>
          <w:szCs w:val="20"/>
          <w:lang w:val="es-ES"/>
        </w:rPr>
        <w:t xml:space="preserve">. San Luis Potosí. </w:t>
      </w:r>
      <w:proofErr w:type="spellStart"/>
      <w:r w:rsidRPr="00604222">
        <w:rPr>
          <w:rFonts w:ascii="Arial Narrow" w:hAnsi="Arial Narrow"/>
          <w:sz w:val="20"/>
          <w:szCs w:val="20"/>
          <w:lang w:val="es-ES"/>
        </w:rPr>
        <w:t>Mexico</w:t>
      </w:r>
      <w:proofErr w:type="spellEnd"/>
      <w:r w:rsidRPr="00604222">
        <w:rPr>
          <w:rFonts w:ascii="Arial Narrow" w:hAnsi="Arial Narrow"/>
          <w:sz w:val="20"/>
          <w:szCs w:val="20"/>
          <w:lang w:val="es-ES"/>
        </w:rPr>
        <w:t xml:space="preserve">. </w:t>
      </w:r>
      <w:proofErr w:type="spellStart"/>
      <w:r w:rsidRPr="00604222">
        <w:rPr>
          <w:rFonts w:ascii="Arial Narrow" w:hAnsi="Arial Narrow"/>
          <w:sz w:val="20"/>
          <w:szCs w:val="20"/>
          <w:lang w:val="es-ES"/>
        </w:rPr>
        <w:t>Contact</w:t>
      </w:r>
      <w:proofErr w:type="spellEnd"/>
      <w:r w:rsidRPr="00604222">
        <w:rPr>
          <w:rFonts w:ascii="Arial Narrow" w:hAnsi="Arial Narrow"/>
          <w:sz w:val="20"/>
          <w:szCs w:val="20"/>
          <w:lang w:val="es-ES"/>
        </w:rPr>
        <w:t xml:space="preserve">: </w:t>
      </w:r>
      <w:hyperlink r:id="rId4" w:history="1">
        <w:r w:rsidRPr="00604222">
          <w:rPr>
            <w:rStyle w:val="Hipervnculo"/>
            <w:rFonts w:ascii="Arial Narrow" w:hAnsi="Arial Narrow"/>
            <w:color w:val="auto"/>
            <w:sz w:val="20"/>
            <w:szCs w:val="20"/>
            <w:u w:val="none"/>
            <w:lang w:val="es-ES"/>
          </w:rPr>
          <w:t>enrique.maldonado@uaslp.mx</w:t>
        </w:r>
      </w:hyperlink>
    </w:p>
    <w:p w:rsidR="00604222" w:rsidRDefault="00604222" w:rsidP="00604222">
      <w:pPr>
        <w:spacing w:after="0" w:line="240" w:lineRule="auto"/>
        <w:jc w:val="center"/>
        <w:rPr>
          <w:rFonts w:ascii="Arial Narrow" w:hAnsi="Arial Narrow"/>
          <w:sz w:val="20"/>
          <w:szCs w:val="20"/>
          <w:lang w:val="es-ES"/>
        </w:rPr>
      </w:pPr>
    </w:p>
    <w:p w:rsidR="00604222" w:rsidRDefault="00604222" w:rsidP="00604222">
      <w:pPr>
        <w:spacing w:after="0" w:line="240" w:lineRule="auto"/>
        <w:jc w:val="center"/>
        <w:rPr>
          <w:rFonts w:ascii="Arial Narrow" w:hAnsi="Arial Narrow"/>
          <w:sz w:val="20"/>
          <w:szCs w:val="20"/>
          <w:lang w:val="es-ES"/>
        </w:rPr>
      </w:pPr>
    </w:p>
    <w:p w:rsidR="00604222" w:rsidRPr="001B2B33" w:rsidRDefault="00604222" w:rsidP="00604222">
      <w:pPr>
        <w:spacing w:after="0" w:line="276" w:lineRule="auto"/>
        <w:jc w:val="center"/>
        <w:rPr>
          <w:rFonts w:ascii="Arial Narrow" w:hAnsi="Arial Narrow"/>
          <w:b/>
          <w:sz w:val="24"/>
          <w:szCs w:val="24"/>
          <w:lang w:val="en-US"/>
        </w:rPr>
      </w:pPr>
      <w:r w:rsidRPr="001B2B33">
        <w:rPr>
          <w:rFonts w:ascii="Arial Narrow" w:hAnsi="Arial Narrow"/>
          <w:b/>
          <w:sz w:val="24"/>
          <w:szCs w:val="24"/>
          <w:lang w:val="en-US"/>
        </w:rPr>
        <w:t>ABSTRACT</w:t>
      </w:r>
    </w:p>
    <w:p w:rsidR="00604222" w:rsidRDefault="00604222" w:rsidP="00604222">
      <w:pPr>
        <w:spacing w:after="0" w:line="276" w:lineRule="auto"/>
        <w:jc w:val="both"/>
        <w:rPr>
          <w:rFonts w:ascii="Arial Narrow" w:hAnsi="Arial Narrow"/>
          <w:sz w:val="24"/>
          <w:szCs w:val="24"/>
          <w:lang w:val="en-US"/>
        </w:rPr>
      </w:pPr>
      <w:r w:rsidRPr="002A75C0">
        <w:rPr>
          <w:rFonts w:ascii="Arial Narrow" w:hAnsi="Arial Narrow"/>
          <w:sz w:val="24"/>
          <w:szCs w:val="24"/>
          <w:lang w:val="en-US"/>
        </w:rPr>
        <w:t xml:space="preserve">Probiotics are </w:t>
      </w:r>
      <w:r w:rsidR="00447CCF">
        <w:rPr>
          <w:rFonts w:ascii="Arial Narrow" w:hAnsi="Arial Narrow"/>
          <w:sz w:val="24"/>
          <w:szCs w:val="24"/>
          <w:lang w:val="en-US"/>
        </w:rPr>
        <w:t>live microorganisms, which</w:t>
      </w:r>
      <w:bookmarkStart w:id="0" w:name="_GoBack"/>
      <w:bookmarkEnd w:id="0"/>
      <w:r w:rsidRPr="002A75C0">
        <w:rPr>
          <w:rFonts w:ascii="Arial Narrow" w:hAnsi="Arial Narrow"/>
          <w:sz w:val="24"/>
          <w:szCs w:val="24"/>
          <w:lang w:val="en-US"/>
        </w:rPr>
        <w:t xml:space="preserve"> administered in adequate amounts, confer a health benefit on the host.</w:t>
      </w:r>
      <w:r w:rsidRPr="002A75C0">
        <w:rPr>
          <w:lang w:val="en-US"/>
        </w:rPr>
        <w:t xml:space="preserve"> </w:t>
      </w:r>
      <w:r w:rsidRPr="002A75C0">
        <w:rPr>
          <w:rFonts w:ascii="Arial Narrow" w:hAnsi="Arial Narrow"/>
          <w:sz w:val="24"/>
          <w:szCs w:val="24"/>
          <w:lang w:val="en-US"/>
        </w:rPr>
        <w:t>Modulation of the immune response seems to be the common mechanism associated to the consumption of probiotics.</w:t>
      </w:r>
      <w:r w:rsidRPr="002A75C0">
        <w:rPr>
          <w:lang w:val="en-US"/>
        </w:rPr>
        <w:t xml:space="preserve"> </w:t>
      </w:r>
      <w:r w:rsidRPr="002A75C0">
        <w:rPr>
          <w:rFonts w:ascii="Arial Narrow" w:hAnsi="Arial Narrow"/>
          <w:sz w:val="24"/>
          <w:szCs w:val="24"/>
          <w:lang w:val="en-US"/>
        </w:rPr>
        <w:t>Presumably, probiotics must establish a close relationship with dendritic cells (DCs), which are able to recognize microbial products by extending their dendrites to the intestinal lumen</w:t>
      </w:r>
      <w:r>
        <w:rPr>
          <w:rFonts w:ascii="Arial Narrow" w:hAnsi="Arial Narrow"/>
          <w:sz w:val="24"/>
          <w:szCs w:val="24"/>
          <w:lang w:val="en-US"/>
        </w:rPr>
        <w:t xml:space="preserve">. </w:t>
      </w:r>
      <w:r w:rsidRPr="002A75C0">
        <w:rPr>
          <w:rFonts w:ascii="Arial Narrow" w:hAnsi="Arial Narrow"/>
          <w:sz w:val="24"/>
          <w:szCs w:val="24"/>
          <w:lang w:val="en-US"/>
        </w:rPr>
        <w:t xml:space="preserve">Recent studies have shown that DCs activity can be modified following administration of probiotics, especially of the genera </w:t>
      </w:r>
      <w:r w:rsidRPr="002A75C0">
        <w:rPr>
          <w:rFonts w:ascii="Arial Narrow" w:hAnsi="Arial Narrow"/>
          <w:i/>
          <w:sz w:val="24"/>
          <w:szCs w:val="24"/>
          <w:lang w:val="en-US"/>
        </w:rPr>
        <w:t>Lactobacillus</w:t>
      </w:r>
      <w:r w:rsidRPr="002A75C0">
        <w:rPr>
          <w:rFonts w:ascii="Arial Narrow" w:hAnsi="Arial Narrow"/>
          <w:sz w:val="24"/>
          <w:szCs w:val="24"/>
          <w:lang w:val="en-US"/>
        </w:rPr>
        <w:t xml:space="preserve"> and </w:t>
      </w:r>
      <w:proofErr w:type="spellStart"/>
      <w:r w:rsidRPr="002A75C0">
        <w:rPr>
          <w:rFonts w:ascii="Arial Narrow" w:hAnsi="Arial Narrow"/>
          <w:i/>
          <w:sz w:val="24"/>
          <w:szCs w:val="24"/>
          <w:lang w:val="en-US"/>
        </w:rPr>
        <w:t>Bifidobacterium</w:t>
      </w:r>
      <w:proofErr w:type="spellEnd"/>
      <w:r w:rsidRPr="002A75C0">
        <w:rPr>
          <w:rFonts w:ascii="Arial Narrow" w:hAnsi="Arial Narrow"/>
          <w:sz w:val="24"/>
          <w:szCs w:val="24"/>
          <w:lang w:val="en-US"/>
        </w:rPr>
        <w:t xml:space="preserve"> using </w:t>
      </w:r>
      <w:r w:rsidRPr="002A75C0">
        <w:rPr>
          <w:rFonts w:ascii="Arial Narrow" w:hAnsi="Arial Narrow"/>
          <w:i/>
          <w:sz w:val="24"/>
          <w:szCs w:val="24"/>
          <w:lang w:val="en-US"/>
        </w:rPr>
        <w:t>in vitro</w:t>
      </w:r>
      <w:r w:rsidRPr="002A75C0">
        <w:rPr>
          <w:rFonts w:ascii="Arial Narrow" w:hAnsi="Arial Narrow"/>
          <w:sz w:val="24"/>
          <w:szCs w:val="24"/>
          <w:lang w:val="en-US"/>
        </w:rPr>
        <w:t xml:space="preserve"> methodology. In this sense, the analysis of the host-probiotic interaction represents a dynamic and complex process, which can be studied through tools based on the "</w:t>
      </w:r>
      <w:proofErr w:type="spellStart"/>
      <w:r w:rsidRPr="002A75C0">
        <w:rPr>
          <w:rFonts w:ascii="Arial Narrow" w:hAnsi="Arial Narrow"/>
          <w:sz w:val="24"/>
          <w:szCs w:val="24"/>
          <w:lang w:val="en-US"/>
        </w:rPr>
        <w:t>omic</w:t>
      </w:r>
      <w:proofErr w:type="spellEnd"/>
      <w:r w:rsidRPr="002A75C0">
        <w:rPr>
          <w:rFonts w:ascii="Arial Narrow" w:hAnsi="Arial Narrow"/>
          <w:sz w:val="24"/>
          <w:szCs w:val="24"/>
          <w:lang w:val="en-US"/>
        </w:rPr>
        <w:t>" sciences.</w:t>
      </w:r>
      <w:r w:rsidRPr="005E2AF4">
        <w:rPr>
          <w:lang w:val="en-US"/>
        </w:rPr>
        <w:t xml:space="preserve"> </w:t>
      </w:r>
      <w:r w:rsidRPr="005E2AF4">
        <w:rPr>
          <w:rFonts w:ascii="Arial Narrow" w:hAnsi="Arial Narrow"/>
          <w:sz w:val="24"/>
          <w:szCs w:val="24"/>
          <w:lang w:val="en-US"/>
        </w:rPr>
        <w:t>The aim of the present study is to analyze the expression of differential proteins of the interaction between probiotics isolated from</w:t>
      </w:r>
      <w:r>
        <w:rPr>
          <w:rFonts w:ascii="Arial Narrow" w:hAnsi="Arial Narrow"/>
          <w:sz w:val="24"/>
          <w:szCs w:val="24"/>
          <w:lang w:val="en-US"/>
        </w:rPr>
        <w:t xml:space="preserve"> breast milk and DCs</w:t>
      </w:r>
      <w:r w:rsidRPr="005E2AF4">
        <w:rPr>
          <w:rFonts w:ascii="Arial Narrow" w:hAnsi="Arial Narrow"/>
          <w:sz w:val="24"/>
          <w:szCs w:val="24"/>
          <w:lang w:val="en-US"/>
        </w:rPr>
        <w:t xml:space="preserve"> using proteomics techniques, whereby DCs were generated from peripheral blood monocytes from four healthy participants and were co-cultured with probiotics of the genera </w:t>
      </w:r>
      <w:r w:rsidRPr="00CC05CB">
        <w:rPr>
          <w:rFonts w:ascii="Arial Narrow" w:hAnsi="Arial Narrow"/>
          <w:i/>
          <w:sz w:val="24"/>
          <w:szCs w:val="24"/>
          <w:lang w:val="en-US"/>
        </w:rPr>
        <w:t>Lactobacillus</w:t>
      </w:r>
      <w:r w:rsidRPr="005E2AF4">
        <w:rPr>
          <w:rFonts w:ascii="Arial Narrow" w:hAnsi="Arial Narrow"/>
          <w:sz w:val="24"/>
          <w:szCs w:val="24"/>
          <w:lang w:val="en-US"/>
        </w:rPr>
        <w:t xml:space="preserve"> and </w:t>
      </w:r>
      <w:proofErr w:type="spellStart"/>
      <w:r w:rsidRPr="00CC05CB">
        <w:rPr>
          <w:rFonts w:ascii="Arial Narrow" w:hAnsi="Arial Narrow"/>
          <w:i/>
          <w:sz w:val="24"/>
          <w:szCs w:val="24"/>
          <w:lang w:val="en-US"/>
        </w:rPr>
        <w:t>Bifidobacterium</w:t>
      </w:r>
      <w:proofErr w:type="spellEnd"/>
      <w:r w:rsidRPr="005E2AF4">
        <w:rPr>
          <w:rFonts w:ascii="Arial Narrow" w:hAnsi="Arial Narrow"/>
          <w:sz w:val="24"/>
          <w:szCs w:val="24"/>
          <w:lang w:val="en-US"/>
        </w:rPr>
        <w:t xml:space="preserve"> previously isolated from breast milk.</w:t>
      </w:r>
      <w:r>
        <w:rPr>
          <w:rFonts w:ascii="Arial Narrow" w:hAnsi="Arial Narrow"/>
          <w:sz w:val="24"/>
          <w:szCs w:val="24"/>
          <w:lang w:val="en-US"/>
        </w:rPr>
        <w:t xml:space="preserve"> </w:t>
      </w:r>
      <w:r w:rsidRPr="005E2AF4">
        <w:rPr>
          <w:rFonts w:ascii="Arial Narrow" w:hAnsi="Arial Narrow"/>
          <w:sz w:val="24"/>
          <w:szCs w:val="24"/>
          <w:lang w:val="en-US"/>
        </w:rPr>
        <w:t xml:space="preserve">After 3 hours of co-cultivation under optimum conditions, the proteins were extracted from each culture, thus generating 2D proteomic maps </w:t>
      </w:r>
      <w:r>
        <w:rPr>
          <w:rFonts w:ascii="Arial Narrow" w:hAnsi="Arial Narrow"/>
          <w:sz w:val="24"/>
          <w:szCs w:val="24"/>
          <w:lang w:val="en-US"/>
        </w:rPr>
        <w:t xml:space="preserve">(SDS –PAGE) </w:t>
      </w:r>
      <w:r w:rsidRPr="005E2AF4">
        <w:rPr>
          <w:rFonts w:ascii="Arial Narrow" w:hAnsi="Arial Narrow"/>
          <w:sz w:val="24"/>
          <w:szCs w:val="24"/>
          <w:lang w:val="en-US"/>
        </w:rPr>
        <w:t>and a differential proteomic expression was found derived from the interaction of the co-cultures compared to single cultures</w:t>
      </w:r>
      <w:r>
        <w:rPr>
          <w:rFonts w:ascii="Arial Narrow" w:hAnsi="Arial Narrow"/>
          <w:sz w:val="24"/>
          <w:szCs w:val="24"/>
          <w:lang w:val="en-US"/>
        </w:rPr>
        <w:t xml:space="preserve">. </w:t>
      </w:r>
      <w:r w:rsidRPr="005E2AF4">
        <w:rPr>
          <w:rFonts w:ascii="Arial Narrow" w:hAnsi="Arial Narrow"/>
          <w:sz w:val="24"/>
          <w:szCs w:val="24"/>
          <w:lang w:val="en-US"/>
        </w:rPr>
        <w:t>To the moment, our results suggest that</w:t>
      </w:r>
      <w:r>
        <w:rPr>
          <w:rFonts w:ascii="Arial Narrow" w:hAnsi="Arial Narrow"/>
          <w:sz w:val="24"/>
          <w:szCs w:val="24"/>
          <w:lang w:val="en-US"/>
        </w:rPr>
        <w:t xml:space="preserve"> the activity of DCs</w:t>
      </w:r>
      <w:r w:rsidRPr="005E2AF4">
        <w:rPr>
          <w:rFonts w:ascii="Arial Narrow" w:hAnsi="Arial Narrow"/>
          <w:sz w:val="24"/>
          <w:szCs w:val="24"/>
          <w:lang w:val="en-US"/>
        </w:rPr>
        <w:t xml:space="preserve"> can be successfully regulated by interaction with probiotics.</w:t>
      </w:r>
    </w:p>
    <w:p w:rsidR="00604222" w:rsidRDefault="00604222" w:rsidP="00604222">
      <w:pPr>
        <w:spacing w:after="0" w:line="240" w:lineRule="auto"/>
        <w:jc w:val="center"/>
        <w:rPr>
          <w:rFonts w:ascii="Arial Narrow" w:hAnsi="Arial Narrow"/>
          <w:sz w:val="20"/>
          <w:szCs w:val="20"/>
          <w:lang w:val="en-US"/>
        </w:rPr>
      </w:pPr>
    </w:p>
    <w:p w:rsidR="00604222" w:rsidRPr="009F6220" w:rsidRDefault="00604222" w:rsidP="00604222">
      <w:pPr>
        <w:spacing w:after="0" w:line="276" w:lineRule="auto"/>
        <w:rPr>
          <w:rFonts w:ascii="Arial Narrow" w:hAnsi="Arial Narrow"/>
          <w:sz w:val="24"/>
          <w:szCs w:val="24"/>
          <w:lang w:val="en-US"/>
        </w:rPr>
      </w:pPr>
      <w:r w:rsidRPr="009F6220">
        <w:rPr>
          <w:rFonts w:ascii="Arial Narrow" w:hAnsi="Arial Narrow"/>
          <w:b/>
          <w:sz w:val="24"/>
          <w:szCs w:val="24"/>
          <w:lang w:val="en-US"/>
        </w:rPr>
        <w:t>Key words:</w:t>
      </w:r>
      <w:r w:rsidRPr="009F6220">
        <w:rPr>
          <w:rFonts w:ascii="Arial Narrow" w:hAnsi="Arial Narrow"/>
          <w:sz w:val="24"/>
          <w:szCs w:val="24"/>
          <w:lang w:val="en-US"/>
        </w:rPr>
        <w:t xml:space="preserve"> probiotics, breast milk, dendritic cells, proteomics.</w:t>
      </w:r>
    </w:p>
    <w:p w:rsidR="00604222" w:rsidRPr="009F6220" w:rsidRDefault="00604222" w:rsidP="00604222">
      <w:pPr>
        <w:spacing w:after="0" w:line="276" w:lineRule="auto"/>
        <w:rPr>
          <w:rFonts w:ascii="Arial Narrow" w:hAnsi="Arial Narrow"/>
          <w:sz w:val="24"/>
          <w:szCs w:val="24"/>
          <w:lang w:val="en-US"/>
        </w:rPr>
      </w:pPr>
      <w:r w:rsidRPr="009F6220">
        <w:rPr>
          <w:rFonts w:ascii="Arial Narrow" w:hAnsi="Arial Narrow"/>
          <w:b/>
          <w:sz w:val="24"/>
          <w:szCs w:val="24"/>
          <w:lang w:val="en-US"/>
        </w:rPr>
        <w:t>Conflict of interests:</w:t>
      </w:r>
      <w:r w:rsidRPr="009F6220">
        <w:rPr>
          <w:rFonts w:ascii="Arial Narrow" w:hAnsi="Arial Narrow"/>
          <w:sz w:val="24"/>
          <w:szCs w:val="24"/>
          <w:lang w:val="en-US"/>
        </w:rPr>
        <w:t xml:space="preserve"> </w:t>
      </w:r>
      <w:r>
        <w:rPr>
          <w:rFonts w:ascii="Arial Narrow" w:hAnsi="Arial Narrow"/>
          <w:sz w:val="24"/>
          <w:szCs w:val="24"/>
          <w:lang w:val="en-US"/>
        </w:rPr>
        <w:t xml:space="preserve">the authors of this study </w:t>
      </w:r>
      <w:r w:rsidRPr="009F6220">
        <w:rPr>
          <w:rFonts w:ascii="Arial Narrow" w:hAnsi="Arial Narrow"/>
          <w:sz w:val="24"/>
          <w:szCs w:val="24"/>
          <w:lang w:val="en-US"/>
        </w:rPr>
        <w:t>have no conflict of interest</w:t>
      </w:r>
      <w:r>
        <w:rPr>
          <w:rFonts w:ascii="Arial Narrow" w:hAnsi="Arial Narrow"/>
          <w:sz w:val="24"/>
          <w:szCs w:val="24"/>
          <w:lang w:val="en-US"/>
        </w:rPr>
        <w:t>.</w:t>
      </w:r>
    </w:p>
    <w:p w:rsidR="00604222" w:rsidRDefault="00604222" w:rsidP="00604222">
      <w:pPr>
        <w:spacing w:after="0" w:line="240" w:lineRule="auto"/>
        <w:jc w:val="both"/>
        <w:rPr>
          <w:rFonts w:ascii="Arial Narrow" w:hAnsi="Arial Narrow"/>
          <w:sz w:val="20"/>
          <w:szCs w:val="20"/>
          <w:lang w:val="en-US"/>
        </w:rPr>
      </w:pPr>
    </w:p>
    <w:p w:rsidR="00604222" w:rsidRDefault="00604222" w:rsidP="00604222">
      <w:pPr>
        <w:spacing w:after="0" w:line="240" w:lineRule="auto"/>
        <w:jc w:val="both"/>
        <w:rPr>
          <w:rFonts w:ascii="Arial Narrow" w:hAnsi="Arial Narrow"/>
          <w:sz w:val="20"/>
          <w:szCs w:val="20"/>
          <w:lang w:val="en-US"/>
        </w:rPr>
      </w:pPr>
    </w:p>
    <w:p w:rsidR="00604222" w:rsidRDefault="00604222" w:rsidP="00604222">
      <w:pPr>
        <w:spacing w:after="0" w:line="240" w:lineRule="auto"/>
        <w:jc w:val="both"/>
        <w:rPr>
          <w:rFonts w:ascii="Arial Narrow" w:hAnsi="Arial Narrow"/>
          <w:sz w:val="20"/>
          <w:szCs w:val="20"/>
          <w:lang w:val="en-US"/>
        </w:rPr>
      </w:pPr>
    </w:p>
    <w:p w:rsidR="00604222" w:rsidRDefault="00604222" w:rsidP="00604222">
      <w:pPr>
        <w:spacing w:after="0" w:line="240" w:lineRule="auto"/>
        <w:jc w:val="both"/>
        <w:rPr>
          <w:rFonts w:ascii="Arial Narrow" w:hAnsi="Arial Narrow"/>
          <w:sz w:val="20"/>
          <w:szCs w:val="20"/>
          <w:lang w:val="en-US"/>
        </w:rPr>
      </w:pPr>
    </w:p>
    <w:p w:rsidR="00604222" w:rsidRPr="00470D5E" w:rsidRDefault="00604222" w:rsidP="00604222">
      <w:pPr>
        <w:spacing w:after="0" w:line="276" w:lineRule="auto"/>
        <w:jc w:val="center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sz w:val="24"/>
          <w:szCs w:val="24"/>
          <w:lang w:val="en-US"/>
        </w:rPr>
        <w:t>REFERENCES</w:t>
      </w:r>
    </w:p>
    <w:p w:rsidR="00604222" w:rsidRPr="00F647C4" w:rsidRDefault="00604222" w:rsidP="00604222">
      <w:pPr>
        <w:spacing w:after="0" w:line="276" w:lineRule="auto"/>
        <w:jc w:val="both"/>
        <w:rPr>
          <w:rFonts w:ascii="Arial Narrow" w:hAnsi="Arial Narrow"/>
          <w:sz w:val="24"/>
          <w:szCs w:val="24"/>
          <w:lang w:val="en-US"/>
        </w:rPr>
      </w:pPr>
      <w:proofErr w:type="spellStart"/>
      <w:r w:rsidRPr="00F647C4">
        <w:rPr>
          <w:rFonts w:ascii="Arial Narrow" w:hAnsi="Arial Narrow"/>
          <w:sz w:val="24"/>
          <w:szCs w:val="24"/>
          <w:lang w:val="en-US"/>
        </w:rPr>
        <w:t>Kitahara</w:t>
      </w:r>
      <w:proofErr w:type="spellEnd"/>
      <w:r w:rsidRPr="00F647C4">
        <w:rPr>
          <w:rFonts w:ascii="Arial Narrow" w:hAnsi="Arial Narrow"/>
          <w:sz w:val="24"/>
          <w:szCs w:val="24"/>
          <w:lang w:val="en-US"/>
        </w:rPr>
        <w:t xml:space="preserve">, N., </w:t>
      </w:r>
      <w:proofErr w:type="spellStart"/>
      <w:r w:rsidRPr="00F647C4">
        <w:rPr>
          <w:rFonts w:ascii="Arial Narrow" w:hAnsi="Arial Narrow"/>
          <w:sz w:val="24"/>
          <w:szCs w:val="24"/>
          <w:lang w:val="en-US"/>
        </w:rPr>
        <w:t>Morisaka</w:t>
      </w:r>
      <w:proofErr w:type="spellEnd"/>
      <w:r w:rsidRPr="00F647C4">
        <w:rPr>
          <w:rFonts w:ascii="Arial Narrow" w:hAnsi="Arial Narrow"/>
          <w:sz w:val="24"/>
          <w:szCs w:val="24"/>
          <w:lang w:val="en-US"/>
        </w:rPr>
        <w:t xml:space="preserve">, H., Aoki, W. and Takeda, Y. (2015). Description of the interaction between </w:t>
      </w:r>
      <w:r w:rsidRPr="00470D5E">
        <w:rPr>
          <w:rFonts w:ascii="Arial Narrow" w:hAnsi="Arial Narrow"/>
          <w:i/>
          <w:sz w:val="24"/>
          <w:szCs w:val="24"/>
          <w:lang w:val="en-US"/>
        </w:rPr>
        <w:t xml:space="preserve">Candida </w:t>
      </w:r>
      <w:proofErr w:type="spellStart"/>
      <w:r w:rsidRPr="00470D5E">
        <w:rPr>
          <w:rFonts w:ascii="Arial Narrow" w:hAnsi="Arial Narrow"/>
          <w:i/>
          <w:sz w:val="24"/>
          <w:szCs w:val="24"/>
          <w:lang w:val="en-US"/>
        </w:rPr>
        <w:t>Albicans</w:t>
      </w:r>
      <w:proofErr w:type="spellEnd"/>
      <w:r w:rsidRPr="00F647C4">
        <w:rPr>
          <w:rFonts w:ascii="Arial Narrow" w:hAnsi="Arial Narrow"/>
          <w:sz w:val="24"/>
          <w:szCs w:val="24"/>
          <w:lang w:val="en-US"/>
        </w:rPr>
        <w:t xml:space="preserve"> and macrophages by mixed and quantitative proteome analysis without isolation. </w:t>
      </w:r>
      <w:r w:rsidRPr="00F647C4">
        <w:rPr>
          <w:rFonts w:ascii="Arial Narrow" w:hAnsi="Arial Narrow"/>
          <w:i/>
          <w:sz w:val="24"/>
          <w:szCs w:val="24"/>
          <w:lang w:val="en-US"/>
        </w:rPr>
        <w:t xml:space="preserve">AMB </w:t>
      </w:r>
      <w:proofErr w:type="spellStart"/>
      <w:r w:rsidRPr="00F647C4">
        <w:rPr>
          <w:rFonts w:ascii="Arial Narrow" w:hAnsi="Arial Narrow"/>
          <w:i/>
          <w:sz w:val="24"/>
          <w:szCs w:val="24"/>
          <w:lang w:val="en-US"/>
        </w:rPr>
        <w:t>Expr</w:t>
      </w:r>
      <w:proofErr w:type="spellEnd"/>
      <w:r w:rsidRPr="00F647C4">
        <w:rPr>
          <w:rFonts w:ascii="Arial Narrow" w:hAnsi="Arial Narrow"/>
          <w:sz w:val="24"/>
          <w:szCs w:val="24"/>
          <w:lang w:val="en-US"/>
        </w:rPr>
        <w:t>, 5(41), pp.1-12.</w:t>
      </w:r>
    </w:p>
    <w:p w:rsidR="00604222" w:rsidRPr="00F647C4" w:rsidRDefault="00604222" w:rsidP="00604222">
      <w:pPr>
        <w:spacing w:after="0" w:line="276" w:lineRule="auto"/>
        <w:jc w:val="both"/>
        <w:rPr>
          <w:rFonts w:ascii="Arial Narrow" w:hAnsi="Arial Narrow"/>
          <w:sz w:val="24"/>
          <w:szCs w:val="24"/>
          <w:lang w:val="en-US"/>
        </w:rPr>
      </w:pPr>
    </w:p>
    <w:p w:rsidR="00604222" w:rsidRDefault="00604222" w:rsidP="00604222">
      <w:pPr>
        <w:spacing w:after="0" w:line="276" w:lineRule="auto"/>
        <w:jc w:val="both"/>
        <w:rPr>
          <w:rFonts w:ascii="Arial Narrow" w:hAnsi="Arial Narrow"/>
          <w:sz w:val="24"/>
          <w:szCs w:val="24"/>
          <w:lang w:val="en-US"/>
        </w:rPr>
      </w:pPr>
      <w:proofErr w:type="spellStart"/>
      <w:r w:rsidRPr="00F647C4">
        <w:rPr>
          <w:rFonts w:ascii="Arial Narrow" w:hAnsi="Arial Narrow"/>
          <w:sz w:val="24"/>
          <w:szCs w:val="24"/>
          <w:lang w:val="en-US"/>
        </w:rPr>
        <w:t>Meissner</w:t>
      </w:r>
      <w:proofErr w:type="spellEnd"/>
      <w:r w:rsidRPr="00F647C4">
        <w:rPr>
          <w:rFonts w:ascii="Arial Narrow" w:hAnsi="Arial Narrow"/>
          <w:sz w:val="24"/>
          <w:szCs w:val="24"/>
          <w:lang w:val="en-US"/>
        </w:rPr>
        <w:t xml:space="preserve">, F. and Mann, M. (2014). Quantitative shotgun proteomics: considerations for a high-quality workflow in immunology. </w:t>
      </w:r>
      <w:r w:rsidRPr="00F647C4">
        <w:rPr>
          <w:rFonts w:ascii="Arial Narrow" w:hAnsi="Arial Narrow"/>
          <w:i/>
          <w:sz w:val="24"/>
          <w:szCs w:val="24"/>
          <w:lang w:val="en-US"/>
        </w:rPr>
        <w:t xml:space="preserve">Nat </w:t>
      </w:r>
      <w:proofErr w:type="spellStart"/>
      <w:r w:rsidRPr="00F647C4">
        <w:rPr>
          <w:rFonts w:ascii="Arial Narrow" w:hAnsi="Arial Narrow"/>
          <w:i/>
          <w:sz w:val="24"/>
          <w:szCs w:val="24"/>
          <w:lang w:val="en-US"/>
        </w:rPr>
        <w:t>Immunol</w:t>
      </w:r>
      <w:proofErr w:type="spellEnd"/>
      <w:r w:rsidRPr="00F647C4">
        <w:rPr>
          <w:rFonts w:ascii="Arial Narrow" w:hAnsi="Arial Narrow"/>
          <w:sz w:val="24"/>
          <w:szCs w:val="24"/>
          <w:lang w:val="en-US"/>
        </w:rPr>
        <w:t>, 15, pp.112-117.</w:t>
      </w:r>
    </w:p>
    <w:p w:rsidR="00604222" w:rsidRPr="00604222" w:rsidRDefault="00604222" w:rsidP="00604222">
      <w:pPr>
        <w:spacing w:after="0" w:line="240" w:lineRule="auto"/>
        <w:jc w:val="center"/>
        <w:rPr>
          <w:rFonts w:ascii="Arial Narrow" w:hAnsi="Arial Narrow"/>
          <w:sz w:val="20"/>
          <w:szCs w:val="20"/>
          <w:lang w:val="en-US"/>
        </w:rPr>
      </w:pPr>
    </w:p>
    <w:p w:rsidR="00604222" w:rsidRPr="00604222" w:rsidRDefault="00604222" w:rsidP="00604222">
      <w:pPr>
        <w:spacing w:after="0" w:line="240" w:lineRule="auto"/>
        <w:jc w:val="center"/>
        <w:rPr>
          <w:rFonts w:ascii="Arial Narrow" w:hAnsi="Arial Narrow"/>
          <w:sz w:val="20"/>
          <w:szCs w:val="20"/>
          <w:lang w:val="en-US"/>
        </w:rPr>
      </w:pPr>
    </w:p>
    <w:p w:rsidR="00F45E46" w:rsidRPr="00604222" w:rsidRDefault="00F45E46">
      <w:pPr>
        <w:rPr>
          <w:lang w:val="en-US"/>
        </w:rPr>
      </w:pPr>
    </w:p>
    <w:sectPr w:rsidR="00F45E46" w:rsidRPr="00604222" w:rsidSect="0060422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222"/>
    <w:rsid w:val="00447CCF"/>
    <w:rsid w:val="00604222"/>
    <w:rsid w:val="00F4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FC0738-8B85-4CC7-B556-0EB2BA573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222"/>
    <w:pPr>
      <w:spacing w:after="160" w:line="259" w:lineRule="auto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042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nrique.maldonado@uaslp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2017-10-24T22:32:00Z</dcterms:created>
  <dcterms:modified xsi:type="dcterms:W3CDTF">2017-10-24T22:38:00Z</dcterms:modified>
</cp:coreProperties>
</file>