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237DA89" w14:textId="77777777" w:rsidR="000A4C22" w:rsidRPr="00B3082B" w:rsidRDefault="00495C76" w:rsidP="00495C76">
      <w:pPr>
        <w:jc w:val="center"/>
        <w:rPr>
          <w:rFonts w:ascii="Times New Roman" w:hAnsi="Times New Roman" w:cs="Times New Roman"/>
          <w:b/>
          <w:noProof/>
          <w:sz w:val="32"/>
          <w:szCs w:val="32"/>
          <w:lang w:eastAsia="en-IN"/>
        </w:rPr>
      </w:pPr>
      <w:r w:rsidRPr="00B3082B">
        <w:rPr>
          <w:rFonts w:ascii="Times New Roman" w:hAnsi="Times New Roman" w:cs="Times New Roman"/>
          <w:b/>
          <w:noProof/>
          <w:sz w:val="32"/>
          <w:szCs w:val="32"/>
          <w:lang w:eastAsia="en-IN"/>
        </w:rPr>
        <w:t>Abstract Template</w:t>
      </w:r>
    </w:p>
    <w:p w14:paraId="0A0C5951" w14:textId="77777777" w:rsidR="00731694" w:rsidRPr="00731694" w:rsidRDefault="00B3082B" w:rsidP="00731694">
      <w:pPr>
        <w:jc w:val="center"/>
        <w:rPr>
          <w:rFonts w:ascii="Times New Roman" w:hAnsi="Times New Roman" w:cs="Times New Roman"/>
          <w:sz w:val="24"/>
          <w:szCs w:val="24"/>
        </w:rPr>
      </w:pPr>
      <w:r>
        <w:rPr>
          <w:rFonts w:ascii="Times New Roman" w:hAnsi="Times New Roman" w:cs="Times New Roman"/>
          <w:b/>
          <w:sz w:val="24"/>
          <w:szCs w:val="24"/>
        </w:rPr>
        <w:t xml:space="preserve">Abstract Title: </w:t>
      </w:r>
      <w:r w:rsidR="00731694" w:rsidRPr="00731694">
        <w:rPr>
          <w:rFonts w:ascii="Times New Roman" w:hAnsi="Times New Roman" w:cs="Times New Roman"/>
          <w:sz w:val="24"/>
          <w:szCs w:val="24"/>
        </w:rPr>
        <w:t>Immunogenic cell death in cancer and infectious disease.</w:t>
      </w:r>
    </w:p>
    <w:p w14:paraId="16CB3532" w14:textId="77777777" w:rsidR="00731694" w:rsidRPr="00731694" w:rsidRDefault="00731694" w:rsidP="00731694">
      <w:pPr>
        <w:jc w:val="center"/>
        <w:rPr>
          <w:rFonts w:ascii="Times New Roman" w:hAnsi="Times New Roman" w:cs="Times New Roman"/>
          <w:sz w:val="24"/>
          <w:szCs w:val="24"/>
        </w:rPr>
      </w:pPr>
      <w:r w:rsidRPr="00731694">
        <w:rPr>
          <w:rFonts w:ascii="Times New Roman" w:hAnsi="Times New Roman" w:cs="Times New Roman"/>
          <w:sz w:val="24"/>
          <w:szCs w:val="24"/>
        </w:rPr>
        <w:t xml:space="preserve"> </w:t>
      </w:r>
    </w:p>
    <w:p w14:paraId="23C784A0" w14:textId="1115BD50" w:rsidR="00DF04E3" w:rsidRDefault="00DF04E3" w:rsidP="00731694">
      <w:pPr>
        <w:jc w:val="center"/>
        <w:rPr>
          <w:rFonts w:ascii="Times New Roman" w:hAnsi="Times New Roman" w:cs="Times New Roman"/>
          <w:b/>
          <w:sz w:val="24"/>
          <w:szCs w:val="24"/>
        </w:rPr>
      </w:pPr>
    </w:p>
    <w:p w14:paraId="3837B336" w14:textId="6937DAAF" w:rsidR="00DF04E3" w:rsidRDefault="00731694" w:rsidP="00DF04E3">
      <w:pPr>
        <w:pStyle w:val="HTMLPreformatted"/>
        <w:jc w:val="center"/>
        <w:rPr>
          <w:rFonts w:ascii="Times New Roman" w:hAnsi="Times New Roman" w:cs="Times New Roman"/>
          <w:sz w:val="24"/>
          <w:lang w:eastAsia="zh-TW"/>
        </w:rPr>
      </w:pPr>
      <w:r>
        <w:rPr>
          <w:rFonts w:ascii="Times New Roman" w:hAnsi="Times New Roman" w:cs="Times New Roman"/>
          <w:sz w:val="24"/>
          <w:u w:val="single"/>
        </w:rPr>
        <w:t>Guido Kroemer</w:t>
      </w:r>
      <w:r w:rsidRPr="00731694">
        <w:rPr>
          <w:rFonts w:ascii="Times New Roman" w:hAnsi="Times New Roman" w:cs="Times New Roman"/>
          <w:sz w:val="24"/>
          <w:u w:val="single"/>
          <w:vertAlign w:val="superscript"/>
        </w:rPr>
        <w:t>1</w:t>
      </w:r>
    </w:p>
    <w:p w14:paraId="4BE2E43A" w14:textId="77777777" w:rsidR="0028059F" w:rsidRDefault="0028059F" w:rsidP="00DF04E3">
      <w:pPr>
        <w:pStyle w:val="HTMLPreformatted"/>
        <w:rPr>
          <w:rFonts w:ascii="Times New Roman" w:hAnsi="Times New Roman" w:cs="Times New Roman"/>
          <w:i/>
          <w:iCs/>
          <w:sz w:val="24"/>
          <w:vertAlign w:val="superscript"/>
        </w:rPr>
      </w:pPr>
    </w:p>
    <w:p w14:paraId="3B3BA642" w14:textId="77777777" w:rsidR="00731694" w:rsidRDefault="00DF04E3" w:rsidP="00731694">
      <w:pPr>
        <w:pStyle w:val="PlainText"/>
        <w:rPr>
          <w:rFonts w:eastAsia="MS Mincho"/>
          <w:i/>
          <w:color w:val="000000"/>
          <w:sz w:val="22"/>
          <w:szCs w:val="22"/>
        </w:rPr>
      </w:pPr>
      <w:r w:rsidRPr="00526DD5">
        <w:rPr>
          <w:i/>
          <w:iCs/>
          <w:vertAlign w:val="superscript"/>
        </w:rPr>
        <w:t>1</w:t>
      </w:r>
      <w:r w:rsidR="00435234">
        <w:rPr>
          <w:i/>
          <w:iCs/>
          <w:vertAlign w:val="superscript"/>
        </w:rPr>
        <w:t xml:space="preserve"> </w:t>
      </w:r>
      <w:r w:rsidR="00731694" w:rsidRPr="00731662">
        <w:rPr>
          <w:rFonts w:eastAsia="MS Mincho"/>
          <w:i/>
          <w:color w:val="000000"/>
          <w:sz w:val="22"/>
          <w:szCs w:val="22"/>
        </w:rPr>
        <w:t>University of Paris Descartes, INSERM U1138, Centre</w:t>
      </w:r>
      <w:r w:rsidR="00731694">
        <w:rPr>
          <w:rFonts w:eastAsia="MS Mincho"/>
          <w:i/>
          <w:color w:val="000000"/>
          <w:sz w:val="22"/>
          <w:szCs w:val="22"/>
        </w:rPr>
        <w:t xml:space="preserve"> de Recherche des Cordeliers, Hô</w:t>
      </w:r>
      <w:r w:rsidR="00731694" w:rsidRPr="00731662">
        <w:rPr>
          <w:rFonts w:eastAsia="MS Mincho"/>
          <w:i/>
          <w:color w:val="000000"/>
          <w:sz w:val="22"/>
          <w:szCs w:val="22"/>
        </w:rPr>
        <w:t xml:space="preserve">pital Européen George Pompidou, Gustave Roussy Cancer Campus, Villejuif/Paris, France </w:t>
      </w:r>
    </w:p>
    <w:p w14:paraId="6DA9E723" w14:textId="4925690B" w:rsidR="0028059F" w:rsidRDefault="0028059F" w:rsidP="00731694">
      <w:pPr>
        <w:pStyle w:val="HTMLPreformatted"/>
        <w:rPr>
          <w:rFonts w:ascii="Times New Roman" w:hAnsi="Times New Roman" w:cs="Times New Roman"/>
          <w:i/>
          <w:iCs/>
          <w:sz w:val="24"/>
        </w:rPr>
      </w:pPr>
    </w:p>
    <w:p w14:paraId="2A151397" w14:textId="77777777" w:rsidR="0028059F" w:rsidRPr="0028059F" w:rsidRDefault="0028059F" w:rsidP="00DF04E3">
      <w:pPr>
        <w:pStyle w:val="HTMLPreformatted"/>
        <w:rPr>
          <w:rFonts w:ascii="Times New Roman" w:hAnsi="Times New Roman" w:cs="Times New Roman"/>
          <w:i/>
          <w:iCs/>
          <w:sz w:val="24"/>
          <w:vertAlign w:val="superscript"/>
        </w:rPr>
      </w:pPr>
    </w:p>
    <w:p w14:paraId="059D54A9" w14:textId="77777777" w:rsidR="00DF04E3" w:rsidRDefault="00DF04E3" w:rsidP="00DF04E3">
      <w:pPr>
        <w:pStyle w:val="HTMLPreformatted"/>
        <w:rPr>
          <w:rFonts w:ascii="Times New Roman" w:hAnsi="Times New Roman" w:cs="Times New Roman"/>
          <w:i/>
          <w:iCs/>
          <w:sz w:val="24"/>
        </w:rPr>
      </w:pPr>
    </w:p>
    <w:p w14:paraId="7FC591D6" w14:textId="77777777" w:rsidR="00DF04E3" w:rsidRPr="00DF04E3" w:rsidRDefault="00DF04E3"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Abstract (not more than 300 words)</w:t>
      </w:r>
    </w:p>
    <w:p w14:paraId="5978B2A8" w14:textId="77777777" w:rsidR="00DF04E3" w:rsidRDefault="00DF04E3" w:rsidP="00DF04E3">
      <w:pPr>
        <w:pStyle w:val="HTMLPreformatted"/>
        <w:tabs>
          <w:tab w:val="left" w:pos="4374"/>
        </w:tabs>
        <w:jc w:val="both"/>
        <w:rPr>
          <w:rFonts w:ascii="Times New Roman" w:hAnsi="Times New Roman" w:cs="Times New Roman"/>
          <w:sz w:val="24"/>
        </w:rPr>
      </w:pPr>
    </w:p>
    <w:p w14:paraId="46102CAF" w14:textId="33E26C12" w:rsidR="002350BC" w:rsidRDefault="00731694" w:rsidP="00DF04E3">
      <w:pPr>
        <w:pStyle w:val="HTMLPreformatted"/>
        <w:jc w:val="both"/>
        <w:rPr>
          <w:rFonts w:ascii="Times New Roman" w:hAnsi="Times New Roman" w:cs="Times New Roman"/>
          <w:sz w:val="24"/>
        </w:rPr>
      </w:pPr>
      <w:r w:rsidRPr="00731694">
        <w:rPr>
          <w:rFonts w:ascii="Times New Roman" w:hAnsi="Times New Roman" w:cs="Times New Roman"/>
          <w:sz w:val="24"/>
        </w:rPr>
        <w:t>Immunogenicity depends on two key factors: antigenicity and adjuvanticity. The presence of exogenous or mutated antigens explains why infected cells and malignant cells can initiate an adaptive immune response provided that the cells also emit adjuvant signals as a consequence of cellular stress and death. Several infectious pathogens have devised strategies to control cell death and limit the emission of danger signals from dying cells, thereby avoiding immune recognition. Similarly, cancer cells often escape immunosurveillance owing to defects in the molecular machinery that underlies the release of endogenous adjuvants. Conventional chemotherapeutics and targeted antineoplastic agents have been developed based on the simplistic notion that cancer constitutes a cell-autonomous genetic or epigenetic disease. Nonetheless, it is becoming clear that many of the available anticancer drugs that have collectively saved millions of life-years mediate therapeutic effects by eliciting de novo or reactivating pre-existing tumor-specific immune responses. I will discuss the capacity of anticancer therapies to enhance the immunogenic properties of malignant cells and to stimulate immune effector cells, either directly or by subverting the immunosuppressive circuitries that preclude antitumor immune responses in cancer patients. Accumulating evidence indicates that the therapeutic efficacy of many (if not most) antineoplastic agents relies on their capacity to influence the tumor-host interaction, tipping the balance toward the activation of an immune response specific for malignant cells. One particular way to reinstate immunosurveillance consists in the induction of immunogenic cell death (ICD), which involves elements of organelle-specific, autophagic, apoptotic and necroptotic stress signaling. ICD involves changes in the composition of the cell surface as well as the release of soluble mediators, occurring in a defined temporal sequence. Such signals operate on a series of receptors expressed by dendritic cells to stimulate the presentation of tumor antigens to T cells. We postulate that ICD constitutes a prominent pathway for the activation of the immune system against cancer, which in turn determines the long-term success of anticancer therapies. Hence, suboptimal regimens (failing to induce ICD), selective alterations in cancer cells (preventing the emission of immunogenic signals during ICD), or defects in immune effectors (abolishing the perception of ICD by the immune system) can all contribute to therapeutic failure.</w:t>
      </w:r>
    </w:p>
    <w:p w14:paraId="0C3DE7F6" w14:textId="6DF51ADF" w:rsidR="00DF04E3" w:rsidRDefault="0028059F" w:rsidP="00731694">
      <w:pPr>
        <w:pStyle w:val="HTMLPreformatted"/>
        <w:jc w:val="both"/>
        <w:rPr>
          <w:rFonts w:ascii="Times New Roman" w:hAnsi="Times New Roman" w:cs="Times New Roman"/>
          <w:sz w:val="24"/>
        </w:rPr>
      </w:pPr>
      <w:r w:rsidRPr="0028059F">
        <w:rPr>
          <w:rFonts w:ascii="Times New Roman" w:hAnsi="Times New Roman" w:cs="Times New Roman"/>
          <w:sz w:val="24"/>
        </w:rPr>
        <w:t>Keywords—</w:t>
      </w:r>
      <w:r w:rsidR="00731694">
        <w:rPr>
          <w:rFonts w:ascii="Times New Roman" w:hAnsi="Times New Roman" w:cs="Times New Roman"/>
          <w:i/>
          <w:sz w:val="24"/>
        </w:rPr>
        <w:t>Cancer, cellular immune respons, danger-associated molecular pattnes, immunogenic cell death</w:t>
      </w:r>
    </w:p>
    <w:p w14:paraId="3DF86DC2" w14:textId="77777777" w:rsidR="00DF04E3" w:rsidRDefault="00DF04E3" w:rsidP="00DF04E3">
      <w:pPr>
        <w:pStyle w:val="HTMLPreformatted"/>
        <w:jc w:val="both"/>
        <w:rPr>
          <w:rFonts w:ascii="Times New Roman" w:hAnsi="Times New Roman" w:cs="Times New Roman"/>
          <w:i/>
          <w:iCs/>
          <w:sz w:val="24"/>
        </w:rPr>
      </w:pPr>
    </w:p>
    <w:p w14:paraId="7E977773" w14:textId="77777777"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14:paraId="13CE7E07" w14:textId="77777777" w:rsidR="00DF04E3" w:rsidRDefault="00DF04E3" w:rsidP="00DF04E3">
      <w:pPr>
        <w:pStyle w:val="HTMLPreformatted"/>
        <w:jc w:val="both"/>
        <w:rPr>
          <w:rFonts w:ascii="Times New Roman" w:hAnsi="Times New Roman" w:cs="Times New Roman"/>
          <w:b/>
          <w:iCs/>
          <w:sz w:val="24"/>
        </w:rPr>
      </w:pPr>
    </w:p>
    <w:p w14:paraId="7AEA088A" w14:textId="245CF706" w:rsidR="00B3082B" w:rsidRDefault="006B1D7F" w:rsidP="00DF04E3">
      <w:pPr>
        <w:pStyle w:val="HTMLPreformatted"/>
        <w:jc w:val="both"/>
        <w:rPr>
          <w:rFonts w:ascii="Times New Roman" w:hAnsi="Times New Roman" w:cs="Times New Roman"/>
          <w:iCs/>
          <w:sz w:val="24"/>
        </w:rPr>
      </w:pPr>
      <w:r w:rsidRPr="006B1D7F">
        <w:rPr>
          <w:rFonts w:ascii="Times New Roman" w:hAnsi="Times New Roman" w:cs="Times New Roman"/>
          <w:iCs/>
          <w:sz w:val="24"/>
        </w:rPr>
        <w:t>Guido Kroemer has made important contributions to medical research through his groundbreaking work in the fields of cell biology and cancer research. He is best known for the discovery that the permeabilization of mitochondrial membranes constitutes a decisive step in programmed cell death. Kroemer has explored the fine mechanisms of mitochondrial cell death control, the molecular pathways that explain the inhibition of cell death in cancer cells, upstream of or at the level of mitochondria, and the mechanisms that make cancer cell death immunogenic. Kroemer has launched and then proven the hypothesis that the immune response against stressed and dying tumor cells dictates the therapeutic success of anticancer chemotherapy, both in mouse models and in cancer patients.</w:t>
      </w:r>
      <w:r>
        <w:rPr>
          <w:rFonts w:ascii="Times New Roman" w:hAnsi="Times New Roman" w:cs="Times New Roman"/>
          <w:iCs/>
          <w:sz w:val="24"/>
        </w:rPr>
        <w:t xml:space="preserve"> Author of more than 1150 papers, he is the most cited cell biologist in the world. </w:t>
      </w:r>
    </w:p>
    <w:p w14:paraId="7F568373" w14:textId="77777777" w:rsidR="00B3082B" w:rsidRDefault="00B3082B" w:rsidP="00DF04E3">
      <w:pPr>
        <w:pStyle w:val="HTMLPreformatted"/>
        <w:jc w:val="both"/>
        <w:rPr>
          <w:rFonts w:ascii="Times New Roman" w:hAnsi="Times New Roman" w:cs="Times New Roman"/>
          <w:iCs/>
          <w:sz w:val="24"/>
        </w:rPr>
      </w:pPr>
    </w:p>
    <w:p w14:paraId="34FDD395" w14:textId="77777777" w:rsidR="003803D1" w:rsidRDefault="003803D1" w:rsidP="00DF04E3">
      <w:pPr>
        <w:pStyle w:val="HTMLPreformatted"/>
        <w:jc w:val="both"/>
        <w:rPr>
          <w:rFonts w:ascii="Times New Roman" w:hAnsi="Times New Roman" w:cs="Times New Roman"/>
          <w:b/>
          <w:iCs/>
          <w:sz w:val="24"/>
        </w:rPr>
      </w:pPr>
      <w:r w:rsidRPr="003803D1">
        <w:rPr>
          <w:rFonts w:ascii="Times New Roman" w:hAnsi="Times New Roman" w:cs="Times New Roman"/>
          <w:b/>
          <w:iCs/>
          <w:sz w:val="24"/>
        </w:rPr>
        <w:t>Recent Publications (up to 5)</w:t>
      </w:r>
    </w:p>
    <w:p w14:paraId="08AAB7E6" w14:textId="77777777" w:rsidR="003803D1" w:rsidRPr="003803D1" w:rsidRDefault="003803D1" w:rsidP="00DF04E3">
      <w:pPr>
        <w:pStyle w:val="HTMLPreformatted"/>
        <w:jc w:val="both"/>
        <w:rPr>
          <w:rFonts w:ascii="Times New Roman" w:hAnsi="Times New Roman" w:cs="Times New Roman"/>
          <w:iCs/>
          <w:sz w:val="24"/>
        </w:rPr>
      </w:pPr>
    </w:p>
    <w:p w14:paraId="5E9B7BBD" w14:textId="77777777" w:rsidR="006B1D7F" w:rsidRPr="00454B67" w:rsidRDefault="003803D1" w:rsidP="006B1D7F">
      <w:pPr>
        <w:keepLines/>
        <w:ind w:left="284" w:hanging="284"/>
        <w:jc w:val="both"/>
        <w:rPr>
          <w:rFonts w:ascii="Times New Roman" w:hAnsi="Times New Roman"/>
          <w:sz w:val="16"/>
          <w:lang w:val="en-US"/>
        </w:rPr>
      </w:pPr>
      <w:r w:rsidRPr="003803D1">
        <w:rPr>
          <w:rFonts w:ascii="Times New Roman" w:hAnsi="Times New Roman" w:cs="Times New Roman"/>
          <w:iCs/>
          <w:sz w:val="24"/>
        </w:rPr>
        <w:t xml:space="preserve">Harper C (2009) The neuropathology of alcohol-related braindamage. Alcohol </w:t>
      </w:r>
      <w:r w:rsidR="006B1D7F" w:rsidRPr="00454B67">
        <w:rPr>
          <w:rFonts w:ascii="Times New Roman" w:hAnsi="Times New Roman"/>
          <w:sz w:val="16"/>
          <w:lang w:val="en-US"/>
        </w:rPr>
        <w:t xml:space="preserve">Michaud M, Martin I, Sukkuwala A, Adjemian S, Ma Y, Pellegati P, Shen S, Kepp O, Scoazec M, Mignot G, Rello-Varona S, Tailler M, Menger L, Vacchelli E, Galluzzi L, Ghiringhelli F, Galluzzi L, di Virgilio F, Zitvogel L, Kroemer G. Autophagy-dependent anticancer immune responses induced by chemotherapeutic agents in mice. </w:t>
      </w:r>
      <w:r w:rsidR="006B1D7F" w:rsidRPr="00454B67">
        <w:rPr>
          <w:rFonts w:ascii="Times New Roman" w:hAnsi="Times New Roman"/>
          <w:b/>
          <w:i/>
          <w:sz w:val="16"/>
          <w:lang w:val="en-US"/>
        </w:rPr>
        <w:t>Science</w:t>
      </w:r>
      <w:r w:rsidR="006B1D7F" w:rsidRPr="00454B67">
        <w:rPr>
          <w:rFonts w:ascii="Times New Roman" w:hAnsi="Times New Roman"/>
          <w:sz w:val="16"/>
          <w:lang w:val="en-US"/>
        </w:rPr>
        <w:t>. 2011 Dec16;334:1573-1577</w:t>
      </w:r>
    </w:p>
    <w:p w14:paraId="0DE6EC5D" w14:textId="77777777" w:rsidR="006B1D7F" w:rsidRPr="00454B67" w:rsidRDefault="006B1D7F" w:rsidP="006B1D7F">
      <w:pPr>
        <w:keepLines/>
        <w:ind w:left="284" w:hanging="284"/>
        <w:jc w:val="both"/>
        <w:rPr>
          <w:rFonts w:ascii="Times New Roman" w:hAnsi="Times New Roman"/>
          <w:sz w:val="16"/>
          <w:lang w:val="en-US"/>
        </w:rPr>
      </w:pPr>
      <w:r w:rsidRPr="00454B67">
        <w:rPr>
          <w:rFonts w:ascii="Times New Roman" w:hAnsi="Times New Roman"/>
          <w:sz w:val="16"/>
          <w:lang w:val="en-US"/>
        </w:rPr>
        <w:t xml:space="preserve">Senovilla L, Vitale I, Martins I, Tailler M, Pailleret C, Michaud M, Galluzzi  L, Adjemian S, Kepp O, Niso-Santano M, Shen S, Mariño G, Criollo A, Boilève A, Job B, Ladoire S, Ghiringhelli F, Sistigu A, Yamazaki T, Rello-Varona S, Locher C, Poirier-Colame V, Talbot M, Valent A, Berardinelli F, Antoccia A, Ciccosanti F, Fimia GM, Piacentini M, Fueyo A, Messina NL, Li M, Chan CJ, Sigl V, Pourcher G, Ruckenstuhl C, Carmona-Gutierrez D, Lazar V, Penninger JM, Madeo F, López-Otín C, Smyth MJ, Zitvogel L, Castedo M, Kroemer G. An immunosurveillance mechanism controls cancer cell ploidy. </w:t>
      </w:r>
      <w:r w:rsidRPr="00454B67">
        <w:rPr>
          <w:rFonts w:ascii="Times New Roman" w:hAnsi="Times New Roman"/>
          <w:b/>
          <w:i/>
          <w:sz w:val="16"/>
          <w:lang w:val="en-US"/>
        </w:rPr>
        <w:t>Science</w:t>
      </w:r>
      <w:r w:rsidRPr="00454B67">
        <w:rPr>
          <w:rFonts w:ascii="Times New Roman" w:hAnsi="Times New Roman"/>
          <w:sz w:val="16"/>
          <w:lang w:val="en-US"/>
        </w:rPr>
        <w:t xml:space="preserve">. 2012 Sep 28;337(6102):1678-84. </w:t>
      </w:r>
    </w:p>
    <w:p w14:paraId="6F065212" w14:textId="77777777" w:rsidR="006B1D7F" w:rsidRPr="00454B67" w:rsidRDefault="006B1D7F" w:rsidP="006B1D7F">
      <w:pPr>
        <w:keepLines/>
        <w:ind w:left="284" w:hanging="284"/>
        <w:jc w:val="both"/>
        <w:rPr>
          <w:rFonts w:ascii="Times New Roman" w:hAnsi="Times New Roman"/>
          <w:sz w:val="16"/>
          <w:lang w:val="en-US"/>
        </w:rPr>
      </w:pPr>
      <w:r>
        <w:rPr>
          <w:rFonts w:ascii="Times New Roman" w:hAnsi="Times New Roman"/>
          <w:sz w:val="16"/>
        </w:rPr>
        <w:t xml:space="preserve">Vacchelli E, Ma Y, Baracco EE, Sistigu A, Enot DP, Pietrocola F, Yang H, Adjemian S, Chaba K, Semeraro M, Signore M, de Ninno A, Lucarini V, Peschiaroli F, Businaro L, Gerardino A, Manic G, Ulas T, Günther P, Schultze JL, Kepp O, Stoll G, Lefebvre C, Mulot C, Castoldi F, Rusakiewicz S, Ladoire S, Apetoh L, Bravo-San Pedro JM, Lucattelli M, Delarasse C, Boige V, Ducreux M, Delaloge S, Borg C, André F, Schiavoni G, Vitale I, Laurent-Puig P, Mattei F, Zitvogel L, Kroemer G. </w:t>
      </w:r>
      <w:r w:rsidRPr="001135D6">
        <w:rPr>
          <w:rFonts w:ascii="Times New Roman" w:hAnsi="Times New Roman"/>
          <w:sz w:val="16"/>
        </w:rPr>
        <w:t>Essential role of formyl peptide receptor 1 in anticancer chemotherapy</w:t>
      </w:r>
      <w:r>
        <w:rPr>
          <w:rFonts w:ascii="Times New Roman" w:hAnsi="Times New Roman"/>
          <w:b/>
          <w:i/>
          <w:sz w:val="16"/>
        </w:rPr>
        <w:t xml:space="preserve">. </w:t>
      </w:r>
      <w:r w:rsidRPr="00714965">
        <w:rPr>
          <w:rFonts w:ascii="Times New Roman" w:hAnsi="Times New Roman"/>
          <w:b/>
          <w:i/>
          <w:sz w:val="16"/>
        </w:rPr>
        <w:t>Science</w:t>
      </w:r>
      <w:r w:rsidRPr="00714965">
        <w:rPr>
          <w:rFonts w:ascii="Times New Roman" w:hAnsi="Times New Roman"/>
          <w:sz w:val="16"/>
        </w:rPr>
        <w:t>. 2015 Nov 20;350(6263):972-8</w:t>
      </w:r>
    </w:p>
    <w:p w14:paraId="608775C5" w14:textId="77777777" w:rsidR="006B1D7F" w:rsidRDefault="006B1D7F" w:rsidP="006B1D7F">
      <w:pPr>
        <w:keepLines/>
        <w:ind w:left="284" w:hanging="284"/>
        <w:jc w:val="both"/>
        <w:rPr>
          <w:rFonts w:ascii="Times New Roman" w:hAnsi="Times New Roman"/>
          <w:sz w:val="16"/>
        </w:rPr>
      </w:pPr>
      <w:r w:rsidRPr="00487DBA">
        <w:rPr>
          <w:rFonts w:ascii="Times New Roman" w:hAnsi="Times New Roman"/>
          <w:sz w:val="16"/>
        </w:rPr>
        <w:t>Pietrocola F, Pol J, Vacchelli E, Rao S,</w:t>
      </w:r>
      <w:r>
        <w:rPr>
          <w:rFonts w:ascii="Times New Roman" w:hAnsi="Times New Roman"/>
          <w:sz w:val="16"/>
        </w:rPr>
        <w:t xml:space="preserve"> Enot DP, Baracco EE, Levesque S, Castoldi F, Jacquelot N, Yamazaki T, </w:t>
      </w:r>
      <w:r w:rsidRPr="00487DBA">
        <w:rPr>
          <w:rFonts w:ascii="Times New Roman" w:hAnsi="Times New Roman"/>
          <w:sz w:val="16"/>
        </w:rPr>
        <w:t xml:space="preserve">Senovilla L, </w:t>
      </w:r>
      <w:r>
        <w:rPr>
          <w:rFonts w:ascii="Times New Roman" w:hAnsi="Times New Roman"/>
          <w:sz w:val="16"/>
        </w:rPr>
        <w:t xml:space="preserve">Marino G, </w:t>
      </w:r>
      <w:r w:rsidRPr="00487DBA">
        <w:rPr>
          <w:rFonts w:ascii="Times New Roman" w:hAnsi="Times New Roman"/>
          <w:sz w:val="16"/>
        </w:rPr>
        <w:t xml:space="preserve">Aranda F, </w:t>
      </w:r>
      <w:r>
        <w:rPr>
          <w:rFonts w:ascii="Times New Roman" w:hAnsi="Times New Roman"/>
          <w:sz w:val="16"/>
        </w:rPr>
        <w:t xml:space="preserve">Durnand, S, Sica V, Chery A, Lachkar S, Sigl V, </w:t>
      </w:r>
      <w:r w:rsidRPr="00487DBA">
        <w:rPr>
          <w:rFonts w:ascii="Times New Roman" w:hAnsi="Times New Roman"/>
          <w:sz w:val="16"/>
        </w:rPr>
        <w:t xml:space="preserve">Bloy N, </w:t>
      </w:r>
      <w:r>
        <w:rPr>
          <w:rFonts w:ascii="Times New Roman" w:hAnsi="Times New Roman"/>
          <w:sz w:val="16"/>
        </w:rPr>
        <w:t xml:space="preserve">Buque A, Falzoni S, Ryffel B, Apetoh L, </w:t>
      </w:r>
      <w:r w:rsidRPr="00487DBA">
        <w:rPr>
          <w:rFonts w:ascii="Times New Roman" w:hAnsi="Times New Roman"/>
          <w:sz w:val="16"/>
        </w:rPr>
        <w:t xml:space="preserve">DiVirgilio F, Madeo F, </w:t>
      </w:r>
      <w:r>
        <w:rPr>
          <w:rFonts w:ascii="Times New Roman" w:hAnsi="Times New Roman"/>
          <w:sz w:val="16"/>
        </w:rPr>
        <w:t xml:space="preserve">Maiuri MC, </w:t>
      </w:r>
      <w:r w:rsidRPr="00487DBA">
        <w:rPr>
          <w:rFonts w:ascii="Times New Roman" w:hAnsi="Times New Roman"/>
          <w:sz w:val="16"/>
        </w:rPr>
        <w:t xml:space="preserve">Zitvogel L, Levine B, Penninger J, Kroemer G. Caloric restriction mimetics reinforce anticancer immunosurveillance. </w:t>
      </w:r>
      <w:r w:rsidRPr="001D2253">
        <w:rPr>
          <w:rFonts w:ascii="Times New Roman" w:hAnsi="Times New Roman"/>
          <w:b/>
          <w:i/>
          <w:sz w:val="16"/>
        </w:rPr>
        <w:t xml:space="preserve">Cancer Cell. </w:t>
      </w:r>
      <w:r w:rsidRPr="001D2253">
        <w:rPr>
          <w:rFonts w:ascii="Times New Roman" w:hAnsi="Times New Roman"/>
          <w:sz w:val="16"/>
        </w:rPr>
        <w:t>2016 Jul 11;30(1):147-60.</w:t>
      </w:r>
    </w:p>
    <w:p w14:paraId="47BE02DF" w14:textId="77777777" w:rsidR="006B1D7F" w:rsidRPr="00C916AD" w:rsidRDefault="006B1D7F" w:rsidP="006B1D7F">
      <w:pPr>
        <w:keepLines/>
        <w:ind w:left="284" w:hanging="284"/>
        <w:jc w:val="both"/>
        <w:rPr>
          <w:rFonts w:ascii="Times New Roman" w:hAnsi="Times New Roman"/>
          <w:sz w:val="16"/>
        </w:rPr>
      </w:pPr>
      <w:r w:rsidRPr="00476314">
        <w:rPr>
          <w:rFonts w:ascii="Times New Roman" w:hAnsi="Times New Roman"/>
          <w:sz w:val="16"/>
        </w:rPr>
        <w:t xml:space="preserve">Routy B, Lechatelier E, Derosa L, Duong CPM, </w:t>
      </w:r>
      <w:r>
        <w:rPr>
          <w:rFonts w:ascii="Times New Roman" w:hAnsi="Times New Roman"/>
          <w:sz w:val="16"/>
        </w:rPr>
        <w:t>Alou MT, Daillère R, Flucki</w:t>
      </w:r>
      <w:r w:rsidRPr="00476314">
        <w:rPr>
          <w:rFonts w:ascii="Times New Roman" w:hAnsi="Times New Roman"/>
          <w:sz w:val="16"/>
        </w:rPr>
        <w:t>ger A,</w:t>
      </w:r>
      <w:r>
        <w:rPr>
          <w:rFonts w:ascii="Times New Roman" w:hAnsi="Times New Roman"/>
          <w:sz w:val="16"/>
        </w:rPr>
        <w:t xml:space="preserve"> Messaoudene M, Rauber C, Robert MP, Fielle M, </w:t>
      </w:r>
      <w:r w:rsidRPr="00476314">
        <w:rPr>
          <w:rFonts w:ascii="Times New Roman" w:hAnsi="Times New Roman"/>
          <w:sz w:val="16"/>
        </w:rPr>
        <w:t xml:space="preserve"> Flament C, Poirier-Colame V, </w:t>
      </w:r>
      <w:r>
        <w:rPr>
          <w:rFonts w:ascii="Times New Roman" w:hAnsi="Times New Roman"/>
          <w:sz w:val="16"/>
        </w:rPr>
        <w:t xml:space="preserve">Opolon P, Klein C, Iribarren K, Mondragón L, </w:t>
      </w:r>
      <w:r w:rsidRPr="00476314">
        <w:rPr>
          <w:rFonts w:ascii="Times New Roman" w:hAnsi="Times New Roman"/>
          <w:sz w:val="16"/>
        </w:rPr>
        <w:t xml:space="preserve">Jacquelot N, Qu </w:t>
      </w:r>
      <w:r>
        <w:rPr>
          <w:rFonts w:ascii="Times New Roman" w:hAnsi="Times New Roman"/>
          <w:sz w:val="16"/>
        </w:rPr>
        <w:t>B</w:t>
      </w:r>
      <w:r w:rsidRPr="00476314">
        <w:rPr>
          <w:rFonts w:ascii="Times New Roman" w:hAnsi="Times New Roman"/>
          <w:sz w:val="16"/>
        </w:rPr>
        <w:t xml:space="preserve">, </w:t>
      </w:r>
      <w:r>
        <w:rPr>
          <w:rFonts w:ascii="Times New Roman" w:hAnsi="Times New Roman"/>
          <w:sz w:val="16"/>
        </w:rPr>
        <w:t xml:space="preserve">Ferrere G, Clémenson C, Mezquite L, Masip JR, Naltet C, Brosseau S, Kaderbhai C, Richard C, Rizvi H, Levenez F, Galleron N, Quinquis B, Pons N, Ryggerl B, Minard-Colin V, Gonin P, Soria JC, Deutsch E, Loriot Y, Ghiringhelli F, Zalcman G, Goldwasser F, Escudier B, Hellmann MD, Eggermont A, Raoult D, Albiges L, </w:t>
      </w:r>
      <w:r w:rsidRPr="00476314">
        <w:rPr>
          <w:rFonts w:ascii="Times New Roman" w:hAnsi="Times New Roman"/>
          <w:sz w:val="16"/>
        </w:rPr>
        <w:t>Kroemer G</w:t>
      </w:r>
      <w:r>
        <w:rPr>
          <w:rFonts w:ascii="Times New Roman" w:hAnsi="Times New Roman"/>
          <w:sz w:val="16"/>
        </w:rPr>
        <w:t>*</w:t>
      </w:r>
      <w:r w:rsidRPr="00476314">
        <w:rPr>
          <w:rFonts w:ascii="Times New Roman" w:hAnsi="Times New Roman"/>
          <w:sz w:val="16"/>
        </w:rPr>
        <w:t>, Zitvogel L.</w:t>
      </w:r>
      <w:r>
        <w:rPr>
          <w:rFonts w:ascii="Times New Roman" w:hAnsi="Times New Roman"/>
          <w:sz w:val="16"/>
        </w:rPr>
        <w:t xml:space="preserve"> (*Corresponding author).</w:t>
      </w:r>
      <w:r w:rsidRPr="00476314">
        <w:rPr>
          <w:rFonts w:ascii="Times New Roman" w:hAnsi="Times New Roman"/>
          <w:sz w:val="16"/>
        </w:rPr>
        <w:t xml:space="preserve"> Gut microbiota determines efficacy of PD-1 blockade against </w:t>
      </w:r>
      <w:r>
        <w:rPr>
          <w:rFonts w:ascii="Times New Roman" w:hAnsi="Times New Roman"/>
          <w:sz w:val="16"/>
        </w:rPr>
        <w:t>epithelial tumors</w:t>
      </w:r>
      <w:r w:rsidRPr="00476314">
        <w:rPr>
          <w:rFonts w:ascii="Times New Roman" w:hAnsi="Times New Roman"/>
          <w:sz w:val="16"/>
        </w:rPr>
        <w:t xml:space="preserve">. </w:t>
      </w:r>
      <w:r w:rsidRPr="004E4C8B">
        <w:rPr>
          <w:rFonts w:ascii="Times New Roman" w:hAnsi="Times New Roman"/>
          <w:b/>
          <w:i/>
          <w:sz w:val="16"/>
        </w:rPr>
        <w:t>Science</w:t>
      </w:r>
      <w:r w:rsidRPr="004E4C8B">
        <w:rPr>
          <w:rFonts w:ascii="Times New Roman" w:hAnsi="Times New Roman"/>
          <w:sz w:val="16"/>
        </w:rPr>
        <w:t xml:space="preserve">. </w:t>
      </w:r>
      <w:r>
        <w:rPr>
          <w:rFonts w:ascii="Times New Roman" w:hAnsi="Times New Roman"/>
          <w:sz w:val="16"/>
        </w:rPr>
        <w:t>2018, Jan5;359(6371):91-97</w:t>
      </w:r>
    </w:p>
    <w:p w14:paraId="5F810BF6" w14:textId="77777777" w:rsidR="006B1D7F" w:rsidRDefault="006B1D7F" w:rsidP="006B1D7F">
      <w:pPr>
        <w:keepLines/>
        <w:ind w:left="284" w:hanging="284"/>
        <w:jc w:val="both"/>
        <w:rPr>
          <w:rFonts w:ascii="Times New Roman" w:hAnsi="Times New Roman"/>
          <w:sz w:val="16"/>
        </w:rPr>
      </w:pPr>
    </w:p>
    <w:p w14:paraId="37EA1796" w14:textId="0722D6EA" w:rsidR="003803D1" w:rsidRDefault="003803D1" w:rsidP="006B1D7F">
      <w:pPr>
        <w:pStyle w:val="HTMLPreformatted"/>
        <w:numPr>
          <w:ilvl w:val="0"/>
          <w:numId w:val="1"/>
        </w:numPr>
        <w:jc w:val="both"/>
        <w:rPr>
          <w:rFonts w:ascii="Times New Roman" w:hAnsi="Times New Roman" w:cs="Times New Roman"/>
          <w:iCs/>
          <w:sz w:val="24"/>
        </w:rPr>
      </w:pPr>
    </w:p>
    <w:p w14:paraId="2A97AAD6" w14:textId="26995D0C" w:rsidR="00B3082B" w:rsidRDefault="006B1D7F" w:rsidP="00B3082B">
      <w:pPr>
        <w:pStyle w:val="HTMLPreformatted"/>
        <w:jc w:val="both"/>
        <w:rPr>
          <w:rFonts w:ascii="Times New Roman" w:hAnsi="Times New Roman" w:cs="Times New Roman"/>
          <w:b/>
          <w:iCs/>
          <w:sz w:val="24"/>
        </w:rPr>
      </w:pPr>
      <w:r w:rsidRPr="006B1D7F">
        <w:rPr>
          <w:noProof/>
          <w:lang w:eastAsia="zh-CN"/>
        </w:rPr>
        <w:lastRenderedPageBreak/>
        <w:drawing>
          <wp:inline distT="0" distB="0" distL="0" distR="0" wp14:anchorId="64935B6A" wp14:editId="0426EB58">
            <wp:extent cx="3022600" cy="3771900"/>
            <wp:effectExtent l="0" t="0" r="0" b="1270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022600" cy="3771900"/>
                    </a:xfrm>
                    <a:prstGeom prst="rect">
                      <a:avLst/>
                    </a:prstGeom>
                  </pic:spPr>
                </pic:pic>
              </a:graphicData>
            </a:graphic>
          </wp:inline>
        </w:drawing>
      </w:r>
      <w:r w:rsidR="00B3082B">
        <w:rPr>
          <w:noProof/>
          <w:lang w:eastAsia="zh-CN"/>
        </w:rPr>
        <w:drawing>
          <wp:inline distT="0" distB="0" distL="0" distR="0" wp14:anchorId="0D642E6F" wp14:editId="575602C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B3082B">
        <w:rPr>
          <w:rFonts w:ascii="Times New Roman" w:hAnsi="Times New Roman" w:cs="Times New Roman"/>
          <w:b/>
          <w:iCs/>
          <w:sz w:val="24"/>
        </w:rPr>
        <w:br/>
      </w:r>
      <w:r w:rsidR="00B3082B" w:rsidRPr="00B6703B">
        <w:rPr>
          <w:rFonts w:ascii="Times New Roman" w:hAnsi="Times New Roman" w:cs="Times New Roman"/>
          <w:iCs/>
          <w:sz w:val="24"/>
        </w:rPr>
        <w:t>Paste your Photograph here</w:t>
      </w:r>
    </w:p>
    <w:p w14:paraId="1781A950" w14:textId="77777777" w:rsidR="00B3082B" w:rsidRDefault="00B3082B" w:rsidP="00DF04E3">
      <w:pPr>
        <w:pStyle w:val="HTMLPreformatted"/>
        <w:jc w:val="both"/>
        <w:rPr>
          <w:rFonts w:ascii="Times New Roman" w:hAnsi="Times New Roman" w:cs="Times New Roman"/>
          <w:iCs/>
          <w:sz w:val="24"/>
        </w:rPr>
      </w:pPr>
    </w:p>
    <w:p w14:paraId="6449262C" w14:textId="0DFD93E8" w:rsidR="00B3082B" w:rsidRPr="00DF04E3" w:rsidRDefault="00B3082B" w:rsidP="00B3082B">
      <w:pPr>
        <w:pStyle w:val="HTMLPreformatted"/>
        <w:jc w:val="right"/>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DD2A93">
        <w:rPr>
          <w:rFonts w:ascii="Times New Roman" w:hAnsi="Times New Roman" w:cs="Times New Roman"/>
          <w:iCs/>
          <w:sz w:val="24"/>
        </w:rPr>
        <w:t>Kroemer@orange.fr</w:t>
      </w:r>
      <w:bookmarkStart w:id="0" w:name="_GoBack"/>
      <w:bookmarkEnd w:id="0"/>
    </w:p>
    <w:p w14:paraId="654A4418" w14:textId="77777777" w:rsidR="00DF04E3" w:rsidRDefault="00DF04E3" w:rsidP="00495C76">
      <w:pPr>
        <w:jc w:val="center"/>
        <w:rPr>
          <w:rFonts w:ascii="Times New Roman" w:hAnsi="Times New Roman" w:cs="Times New Roman"/>
          <w:b/>
          <w:sz w:val="24"/>
          <w:szCs w:val="24"/>
        </w:rPr>
      </w:pPr>
    </w:p>
    <w:p w14:paraId="6D232BF3" w14:textId="77777777" w:rsidR="002350BC" w:rsidRDefault="002350BC" w:rsidP="002350BC">
      <w:pPr>
        <w:rPr>
          <w:rFonts w:ascii="Times New Roman" w:hAnsi="Times New Roman" w:cs="Times New Roman"/>
          <w:b/>
          <w:sz w:val="24"/>
          <w:szCs w:val="24"/>
        </w:rPr>
      </w:pPr>
    </w:p>
    <w:p w14:paraId="795A044E" w14:textId="77777777"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sectPr w:rsidR="00DF04E3" w:rsidRPr="00495C76">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B74721A" w14:textId="77777777" w:rsidR="009B2639" w:rsidRDefault="009B2639" w:rsidP="00495C76">
      <w:pPr>
        <w:spacing w:after="0" w:line="240" w:lineRule="auto"/>
      </w:pPr>
      <w:r>
        <w:separator/>
      </w:r>
    </w:p>
  </w:endnote>
  <w:endnote w:type="continuationSeparator" w:id="0">
    <w:p w14:paraId="2F07FF3F" w14:textId="77777777" w:rsidR="009B2639" w:rsidRDefault="009B2639"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auto"/>
    <w:pitch w:val="variable"/>
    <w:sig w:usb0="00000000" w:usb1="10000000" w:usb2="00000000" w:usb3="00000000" w:csb0="80000000"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swiss"/>
    <w:pitch w:val="variable"/>
    <w:sig w:usb0="F7FFAFFF" w:usb1="E9DFFFFF" w:usb2="0000003F" w:usb3="00000000" w:csb0="003F01FF" w:csb1="00000000"/>
  </w:font>
  <w:font w:name="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047C122" w14:textId="77777777" w:rsidR="009B2639" w:rsidRDefault="009B2639" w:rsidP="00495C76">
      <w:pPr>
        <w:spacing w:after="0" w:line="240" w:lineRule="auto"/>
      </w:pPr>
      <w:r>
        <w:separator/>
      </w:r>
    </w:p>
  </w:footnote>
  <w:footnote w:type="continuationSeparator" w:id="0">
    <w:p w14:paraId="69BAAF18" w14:textId="77777777" w:rsidR="009B2639" w:rsidRDefault="009B2639" w:rsidP="00495C76">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AAF6BA" w14:textId="77777777" w:rsidR="00495C76" w:rsidRDefault="00495C76" w:rsidP="00495C76">
    <w:pPr>
      <w:pStyle w:val="Header"/>
      <w:jc w:val="center"/>
    </w:pPr>
    <w:r>
      <w:rPr>
        <w:noProof/>
        <w:lang w:val="en-GB" w:eastAsia="zh-CN"/>
      </w:rPr>
      <w:drawing>
        <wp:inline distT="0" distB="0" distL="0" distR="0" wp14:anchorId="141A3A47" wp14:editId="4D3A6CA4">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14:paraId="08C80056" w14:textId="77777777" w:rsidR="00495C76" w:rsidRDefault="00495C76">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080153B"/>
    <w:multiLevelType w:val="hybridMultilevel"/>
    <w:tmpl w:val="A02AEA3A"/>
    <w:lvl w:ilvl="0" w:tplc="AF84F9D8">
      <w:start w:val="1"/>
      <w:numFmt w:val="decimal"/>
      <w:lvlText w:val="%1."/>
      <w:lvlJc w:val="left"/>
      <w:pPr>
        <w:ind w:left="1275" w:hanging="915"/>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nsid w:val="722E2B99"/>
    <w:multiLevelType w:val="hybridMultilevel"/>
    <w:tmpl w:val="8AF0868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A4C22"/>
    <w:rsid w:val="002350BC"/>
    <w:rsid w:val="00246CA2"/>
    <w:rsid w:val="0028059F"/>
    <w:rsid w:val="002F4DF0"/>
    <w:rsid w:val="00311E4A"/>
    <w:rsid w:val="00333E31"/>
    <w:rsid w:val="003803D1"/>
    <w:rsid w:val="0038483D"/>
    <w:rsid w:val="00435234"/>
    <w:rsid w:val="00495C76"/>
    <w:rsid w:val="004F0EF8"/>
    <w:rsid w:val="00627419"/>
    <w:rsid w:val="006B1D7F"/>
    <w:rsid w:val="006C057D"/>
    <w:rsid w:val="00731694"/>
    <w:rsid w:val="009B2639"/>
    <w:rsid w:val="00B3082B"/>
    <w:rsid w:val="00B6703B"/>
    <w:rsid w:val="00BA654F"/>
    <w:rsid w:val="00CE511D"/>
    <w:rsid w:val="00DD2A93"/>
    <w:rsid w:val="00DF04E3"/>
    <w:rsid w:val="00EC2CCD"/>
    <w:rsid w:val="00F32B97"/>
  </w:rsids>
  <m:mathPr>
    <m:mathFont m:val="Cambria Math"/>
    <m:brkBin m:val="before"/>
    <m:brkBinSub m:val="--"/>
    <m:smallFrac m:val="0"/>
    <m:dispDef/>
    <m:lMargin m:val="0"/>
    <m:rMargin m:val="0"/>
    <m:defJc m:val="centerGroup"/>
    <m:wrapIndent m:val="1440"/>
    <m:intLim m:val="subSup"/>
    <m:naryLim m:val="undOvr"/>
  </m:mathPr>
  <w:themeFontLang w:val="en-IN"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44C221"/>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paragraph" w:styleId="PlainText">
    <w:name w:val="Plain Text"/>
    <w:basedOn w:val="Normal"/>
    <w:link w:val="PlainTextChar"/>
    <w:uiPriority w:val="99"/>
    <w:unhideWhenUsed/>
    <w:rsid w:val="00731694"/>
    <w:pPr>
      <w:spacing w:after="0" w:line="240" w:lineRule="auto"/>
    </w:pPr>
    <w:rPr>
      <w:rFonts w:ascii="Times New Roman" w:hAnsi="Times New Roman" w:cs="Times New Roman"/>
      <w:sz w:val="24"/>
      <w:szCs w:val="24"/>
      <w:lang w:val="en-US"/>
    </w:rPr>
  </w:style>
  <w:style w:type="character" w:customStyle="1" w:styleId="PlainTextChar">
    <w:name w:val="Plain Text Char"/>
    <w:basedOn w:val="DefaultParagraphFont"/>
    <w:link w:val="PlainText"/>
    <w:uiPriority w:val="99"/>
    <w:rsid w:val="00731694"/>
    <w:rPr>
      <w:rFonts w:ascii="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 w:id="2085568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tiff"/><Relationship Id="rId8" Type="http://schemas.openxmlformats.org/officeDocument/2006/relationships/image" Target="media/image2.jpeg"/><Relationship Id="rId9" Type="http://schemas.openxmlformats.org/officeDocument/2006/relationships/header" Target="head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1058</Words>
  <Characters>5709</Characters>
  <Application>Microsoft Macintosh Word</Application>
  <DocSecurity>0</DocSecurity>
  <Lines>259</Lines>
  <Paragraphs>199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6568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Microsoft Office User</cp:lastModifiedBy>
  <cp:revision>4</cp:revision>
  <dcterms:created xsi:type="dcterms:W3CDTF">2018-09-07T10:25:00Z</dcterms:created>
  <dcterms:modified xsi:type="dcterms:W3CDTF">2018-09-07T10:32:00Z</dcterms:modified>
</cp:coreProperties>
</file>