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F5DFE" w:rsidRPr="003F44D1" w:rsidRDefault="002A35E1">
      <w:pPr>
        <w:jc w:val="center"/>
        <w:rPr>
          <w:sz w:val="18"/>
          <w:szCs w:val="18"/>
        </w:rPr>
      </w:pPr>
      <w:r w:rsidRPr="003F44D1">
        <w:rPr>
          <w:b/>
          <w:sz w:val="18"/>
          <w:szCs w:val="18"/>
        </w:rPr>
        <w:t>FROM OPV TO IPV IN BRAZIL: VACCINATION COVERAGE, RISK COMMUNICATION AND HEALTH EDUCATION IN THE FINAL PHASE OF POLIO ERADICATION</w:t>
      </w:r>
    </w:p>
    <w:p w:rsidR="00FF5DFE" w:rsidRPr="003F44D1" w:rsidRDefault="002A35E1">
      <w:pPr>
        <w:jc w:val="center"/>
        <w:rPr>
          <w:sz w:val="18"/>
          <w:szCs w:val="18"/>
        </w:rPr>
      </w:pPr>
      <w:r w:rsidRPr="003F44D1">
        <w:rPr>
          <w:b/>
          <w:sz w:val="18"/>
          <w:szCs w:val="18"/>
        </w:rPr>
        <w:t>Felipe da Mata Abreu</w:t>
      </w:r>
      <w:r w:rsidRPr="003F44D1">
        <w:rPr>
          <w:b/>
          <w:sz w:val="18"/>
          <w:szCs w:val="18"/>
          <w:vertAlign w:val="superscript"/>
        </w:rPr>
        <w:t>1</w:t>
      </w:r>
      <w:r w:rsidR="003F44D1" w:rsidRPr="003F44D1">
        <w:rPr>
          <w:b/>
          <w:sz w:val="18"/>
          <w:szCs w:val="18"/>
          <w:vertAlign w:val="superscript"/>
        </w:rPr>
        <w:t xml:space="preserve"> </w:t>
      </w:r>
      <w:r w:rsidR="003F44D1">
        <w:rPr>
          <w:b/>
          <w:sz w:val="18"/>
          <w:szCs w:val="18"/>
        </w:rPr>
        <w:t>|</w:t>
      </w:r>
      <w:r w:rsidRPr="003F44D1">
        <w:rPr>
          <w:b/>
          <w:sz w:val="18"/>
          <w:szCs w:val="18"/>
        </w:rPr>
        <w:t xml:space="preserve"> </w:t>
      </w:r>
      <w:proofErr w:type="spellStart"/>
      <w:r w:rsidRPr="003F44D1">
        <w:rPr>
          <w:b/>
          <w:sz w:val="18"/>
          <w:szCs w:val="18"/>
        </w:rPr>
        <w:t>Lívia</w:t>
      </w:r>
      <w:proofErr w:type="spellEnd"/>
      <w:r w:rsidRPr="003F44D1">
        <w:rPr>
          <w:b/>
          <w:sz w:val="18"/>
          <w:szCs w:val="18"/>
        </w:rPr>
        <w:t xml:space="preserve"> Silva Garcia</w:t>
      </w:r>
      <w:r w:rsidRPr="003F44D1">
        <w:rPr>
          <w:b/>
          <w:sz w:val="18"/>
          <w:szCs w:val="18"/>
          <w:vertAlign w:val="superscript"/>
        </w:rPr>
        <w:t>,2</w:t>
      </w:r>
    </w:p>
    <w:p w:rsidR="00FF5DFE" w:rsidRPr="003F44D1" w:rsidRDefault="002A35E1">
      <w:pPr>
        <w:jc w:val="center"/>
        <w:rPr>
          <w:sz w:val="18"/>
          <w:szCs w:val="18"/>
        </w:rPr>
      </w:pPr>
      <w:r w:rsidRPr="003F44D1">
        <w:rPr>
          <w:sz w:val="18"/>
          <w:szCs w:val="18"/>
        </w:rPr>
        <w:t xml:space="preserve">1 Universidade José do Rosário Vellano (UNIFENAS), Belo Horizonte, MG, </w:t>
      </w:r>
      <w:r w:rsidRPr="003F44D1">
        <w:rPr>
          <w:sz w:val="18"/>
          <w:szCs w:val="18"/>
        </w:rPr>
        <w:t>Brazil</w:t>
      </w:r>
    </w:p>
    <w:p w:rsidR="00FF5DFE" w:rsidRPr="003F44D1" w:rsidRDefault="003F44D1">
      <w:pPr>
        <w:jc w:val="center"/>
        <w:rPr>
          <w:sz w:val="18"/>
          <w:szCs w:val="18"/>
        </w:rPr>
      </w:pPr>
      <w:r w:rsidRPr="003F44D1">
        <w:rPr>
          <w:sz w:val="18"/>
          <w:szCs w:val="18"/>
        </w:rPr>
        <w:t>2</w:t>
      </w:r>
      <w:r w:rsidR="002A35E1" w:rsidRPr="003F44D1">
        <w:rPr>
          <w:sz w:val="18"/>
          <w:szCs w:val="18"/>
        </w:rPr>
        <w:t xml:space="preserve"> </w:t>
      </w:r>
      <w:proofErr w:type="spellStart"/>
      <w:r w:rsidR="002A35E1" w:rsidRPr="003F44D1">
        <w:rPr>
          <w:sz w:val="18"/>
          <w:szCs w:val="18"/>
        </w:rPr>
        <w:t>Afya</w:t>
      </w:r>
      <w:proofErr w:type="spellEnd"/>
      <w:r w:rsidR="002A35E1" w:rsidRPr="003F44D1">
        <w:rPr>
          <w:sz w:val="18"/>
          <w:szCs w:val="18"/>
        </w:rPr>
        <w:t xml:space="preserve"> </w:t>
      </w:r>
      <w:proofErr w:type="spellStart"/>
      <w:r w:rsidR="002A35E1" w:rsidRPr="003F44D1">
        <w:rPr>
          <w:sz w:val="18"/>
          <w:szCs w:val="18"/>
        </w:rPr>
        <w:t>Faculdade</w:t>
      </w:r>
      <w:proofErr w:type="spellEnd"/>
      <w:r w:rsidR="002A35E1" w:rsidRPr="003F44D1">
        <w:rPr>
          <w:sz w:val="18"/>
          <w:szCs w:val="18"/>
        </w:rPr>
        <w:t xml:space="preserve"> de Ciências Médicas de Contagem, Contagem, MG, Brazil</w:t>
      </w:r>
    </w:p>
    <w:p w:rsidR="00FF5DFE" w:rsidRPr="003F44D1" w:rsidRDefault="002A35E1">
      <w:pPr>
        <w:jc w:val="center"/>
        <w:rPr>
          <w:sz w:val="18"/>
          <w:szCs w:val="18"/>
        </w:rPr>
      </w:pPr>
      <w:r w:rsidRPr="003F44D1">
        <w:rPr>
          <w:sz w:val="18"/>
          <w:szCs w:val="18"/>
        </w:rPr>
        <w:t xml:space="preserve">Track 11: Public Health and </w:t>
      </w:r>
      <w:proofErr w:type="gramStart"/>
      <w:r w:rsidRPr="003F44D1">
        <w:rPr>
          <w:sz w:val="18"/>
          <w:szCs w:val="18"/>
        </w:rPr>
        <w:t>Epidemiology  |</w:t>
      </w:r>
      <w:proofErr w:type="gramEnd"/>
      <w:r w:rsidRPr="003F44D1">
        <w:rPr>
          <w:sz w:val="18"/>
          <w:szCs w:val="18"/>
        </w:rPr>
        <w:t xml:space="preserve">  Sub-se</w:t>
      </w:r>
      <w:r w:rsidRPr="003F44D1">
        <w:rPr>
          <w:sz w:val="18"/>
          <w:szCs w:val="18"/>
        </w:rPr>
        <w:t>ssion 11.4: Vaccination Programs</w:t>
      </w:r>
    </w:p>
    <w:p w:rsidR="00FF5DFE" w:rsidRPr="003F44D1" w:rsidRDefault="00FF5DFE">
      <w:pPr>
        <w:rPr>
          <w:sz w:val="18"/>
          <w:szCs w:val="18"/>
        </w:rPr>
      </w:pPr>
    </w:p>
    <w:p w:rsidR="003F44D1" w:rsidRPr="003F44D1" w:rsidRDefault="003F44D1">
      <w:pPr>
        <w:rPr>
          <w:b/>
          <w:sz w:val="18"/>
          <w:szCs w:val="18"/>
        </w:rPr>
        <w:sectPr w:rsidR="003F44D1" w:rsidRPr="003F44D1" w:rsidSect="00034616">
          <w:pgSz w:w="12240" w:h="15840"/>
          <w:pgMar w:top="1134" w:right="1134" w:bottom="1134" w:left="1134" w:header="720" w:footer="720" w:gutter="0"/>
          <w:cols w:space="720"/>
          <w:docGrid w:linePitch="360"/>
        </w:sectPr>
      </w:pPr>
    </w:p>
    <w:p w:rsidR="00FF5DFE" w:rsidRPr="003F44D1" w:rsidRDefault="002A35E1">
      <w:pPr>
        <w:rPr>
          <w:sz w:val="18"/>
          <w:szCs w:val="18"/>
        </w:rPr>
      </w:pPr>
      <w:r w:rsidRPr="003F44D1">
        <w:rPr>
          <w:b/>
          <w:sz w:val="18"/>
          <w:szCs w:val="18"/>
        </w:rPr>
        <w:t>Abstract (300-word limit)</w:t>
      </w:r>
    </w:p>
    <w:p w:rsidR="00FF5DFE" w:rsidRPr="003F44D1" w:rsidRDefault="002A35E1" w:rsidP="003F44D1">
      <w:pPr>
        <w:spacing w:line="252" w:lineRule="auto"/>
        <w:jc w:val="both"/>
        <w:rPr>
          <w:sz w:val="18"/>
          <w:szCs w:val="18"/>
        </w:rPr>
      </w:pPr>
      <w:r w:rsidRPr="003F44D1">
        <w:rPr>
          <w:sz w:val="18"/>
          <w:szCs w:val="18"/>
        </w:rPr>
        <w:t>The global shift from live-attenuated oral poliovirus vaccine (OPV) to inactivated poliovirus vaccine (IPV) illustrates how vaccine platform choice must evolve alongside disease epidemiology in th</w:t>
      </w:r>
      <w:r w:rsidRPr="003F44D1">
        <w:rPr>
          <w:sz w:val="18"/>
          <w:szCs w:val="18"/>
        </w:rPr>
        <w:t xml:space="preserve">e final phase of eradication. OPV induces strong mucosal and humoral immunity and enabled large-scale immunization campaigns worldwide, but as wild poliovirus circulation declines, the residual risks of the live vaccine virus, vaccine-associated paralytic </w:t>
      </w:r>
      <w:r w:rsidRPr="003F44D1">
        <w:rPr>
          <w:sz w:val="18"/>
          <w:szCs w:val="18"/>
        </w:rPr>
        <w:t>poliomyelitis and circulating vaccine-derived poliovirus, gain relative importance, favoring transition to the non-replicating IPV platform. Brazil offers an instructive case study of this immunization-strategy shift: OPV boosters were fully replaced by IP</w:t>
      </w:r>
      <w:r w:rsidRPr="003F44D1">
        <w:rPr>
          <w:sz w:val="18"/>
          <w:szCs w:val="18"/>
        </w:rPr>
        <w:t>V in 2024, with a second IPV booster added in 2026. This qualitative narrative review and documentary analysis examined the technical and epidemiological rationale for the OPV-to-IPV transition and its implications for vaccination coverage, risk communicat</w:t>
      </w:r>
      <w:r w:rsidRPr="003F44D1">
        <w:rPr>
          <w:sz w:val="18"/>
          <w:szCs w:val="18"/>
        </w:rPr>
        <w:t xml:space="preserve">ion and vaccine confidence, drawing on scientific publications and official documents from health authorities. Findings indicate that the strategy change should not be read as evidence against OPV, whose </w:t>
      </w:r>
      <w:r w:rsidRPr="003F44D1">
        <w:rPr>
          <w:sz w:val="18"/>
          <w:szCs w:val="18"/>
        </w:rPr>
        <w:t>historical role in interrupting wild poliovirus tran</w:t>
      </w:r>
      <w:r w:rsidRPr="003F44D1">
        <w:rPr>
          <w:sz w:val="18"/>
          <w:szCs w:val="18"/>
        </w:rPr>
        <w:t xml:space="preserve">smission is well established, but as an anticipated adaptation to a lower-risk epidemiological context. National polio vaccination coverage had already declined before the transition, from 89.27% in 1997 to approximately 61% in 2021, with a 2013-2022 mean </w:t>
      </w:r>
      <w:r w:rsidRPr="003F44D1">
        <w:rPr>
          <w:sz w:val="18"/>
          <w:szCs w:val="18"/>
        </w:rPr>
        <w:t>of 75.74%, below the 95% target, alongside persistent regional and municipal inequalities. This trajectory shows that immunization-</w:t>
      </w:r>
      <w:bookmarkStart w:id="0" w:name="_GoBack"/>
      <w:r w:rsidRPr="003F44D1">
        <w:rPr>
          <w:sz w:val="18"/>
          <w:szCs w:val="18"/>
        </w:rPr>
        <w:t xml:space="preserve">strategy changes and coverage trends must be analyzed </w:t>
      </w:r>
      <w:bookmarkEnd w:id="0"/>
      <w:r w:rsidRPr="003F44D1">
        <w:rPr>
          <w:sz w:val="18"/>
          <w:szCs w:val="18"/>
        </w:rPr>
        <w:t>independently: declining coverage is driven by access barriers, misinfo</w:t>
      </w:r>
      <w:r w:rsidRPr="003F44D1">
        <w:rPr>
          <w:sz w:val="18"/>
          <w:szCs w:val="18"/>
        </w:rPr>
        <w:t>rmation, reduced risk perception and communication gaps rather than by the platform switch itself. Because the transition also alters a culturally embedded practice associated with the “gotinha,” sustaining population immunity requires pairing vaccine scie</w:t>
      </w:r>
      <w:r w:rsidRPr="003F44D1">
        <w:rPr>
          <w:sz w:val="18"/>
          <w:szCs w:val="18"/>
        </w:rPr>
        <w:t>nce communication with targeted health education and risk communication strategies. The study concludes that immunization programs approaching the elimination endgame need integrated frameworks linking vaccine platform decisions, epidemiological surveillan</w:t>
      </w:r>
      <w:r w:rsidRPr="003F44D1">
        <w:rPr>
          <w:sz w:val="18"/>
          <w:szCs w:val="18"/>
        </w:rPr>
        <w:t>ce, equitable access and public trust.</w:t>
      </w:r>
    </w:p>
    <w:p w:rsidR="00FF5DFE" w:rsidRPr="003F44D1" w:rsidRDefault="002A35E1">
      <w:pPr>
        <w:jc w:val="right"/>
        <w:rPr>
          <w:sz w:val="18"/>
          <w:szCs w:val="18"/>
        </w:rPr>
      </w:pPr>
      <w:r w:rsidRPr="003F44D1">
        <w:rPr>
          <w:sz w:val="18"/>
          <w:szCs w:val="18"/>
        </w:rPr>
        <w:t>Abstract word count: 296</w:t>
      </w:r>
    </w:p>
    <w:p w:rsidR="003F44D1" w:rsidRPr="003F44D1" w:rsidRDefault="003F44D1">
      <w:pPr>
        <w:rPr>
          <w:sz w:val="18"/>
          <w:szCs w:val="18"/>
        </w:rPr>
        <w:sectPr w:rsidR="003F44D1" w:rsidRPr="003F44D1" w:rsidSect="003F44D1">
          <w:type w:val="continuous"/>
          <w:pgSz w:w="12240" w:h="15840"/>
          <w:pgMar w:top="1134" w:right="1134" w:bottom="1134" w:left="1134" w:header="720" w:footer="720" w:gutter="0"/>
          <w:cols w:num="2" w:space="720"/>
          <w:docGrid w:linePitch="360"/>
        </w:sectPr>
      </w:pPr>
    </w:p>
    <w:p w:rsidR="00FF5DFE" w:rsidRPr="003F44D1" w:rsidRDefault="00FF5DFE">
      <w:pPr>
        <w:rPr>
          <w:sz w:val="18"/>
          <w:szCs w:val="18"/>
        </w:rPr>
      </w:pPr>
    </w:p>
    <w:p w:rsidR="003F44D1" w:rsidRPr="003F44D1" w:rsidRDefault="003F44D1">
      <w:pPr>
        <w:rPr>
          <w:b/>
          <w:sz w:val="18"/>
          <w:szCs w:val="18"/>
        </w:rPr>
        <w:sectPr w:rsidR="003F44D1" w:rsidRPr="003F44D1" w:rsidSect="003F44D1">
          <w:type w:val="continuous"/>
          <w:pgSz w:w="12240" w:h="15840"/>
          <w:pgMar w:top="1134" w:right="1134" w:bottom="1134" w:left="1134" w:header="720" w:footer="720" w:gutter="0"/>
          <w:cols w:space="720"/>
          <w:docGrid w:linePitch="360"/>
        </w:sectPr>
      </w:pPr>
    </w:p>
    <w:p w:rsidR="00FF5DFE" w:rsidRPr="003F44D1" w:rsidRDefault="002A35E1">
      <w:pPr>
        <w:rPr>
          <w:sz w:val="18"/>
          <w:szCs w:val="18"/>
        </w:rPr>
      </w:pPr>
      <w:r w:rsidRPr="003F44D1">
        <w:rPr>
          <w:b/>
          <w:sz w:val="18"/>
          <w:szCs w:val="18"/>
        </w:rPr>
        <w:t>Recent Publications (minimum 5)</w:t>
      </w:r>
    </w:p>
    <w:p w:rsidR="00FF5DFE" w:rsidRPr="003F44D1" w:rsidRDefault="002A35E1">
      <w:pPr>
        <w:spacing w:after="100" w:line="240" w:lineRule="auto"/>
        <w:ind w:left="283" w:hanging="283"/>
        <w:rPr>
          <w:sz w:val="18"/>
          <w:szCs w:val="18"/>
        </w:rPr>
      </w:pPr>
      <w:r w:rsidRPr="003F44D1">
        <w:rPr>
          <w:sz w:val="18"/>
          <w:szCs w:val="18"/>
        </w:rPr>
        <w:t>Silva, T. M. R. et al. (2023). Temporal and spatial distribution trends of polio vaccine coverage in less than one-year old children in Brazil, 2011–2021. BMC</w:t>
      </w:r>
      <w:r w:rsidRPr="003F44D1">
        <w:rPr>
          <w:sz w:val="18"/>
          <w:szCs w:val="18"/>
        </w:rPr>
        <w:t xml:space="preserve"> Public Health, 23, 1359. https://doi.org/10.1186/s12889-023-16192-8.</w:t>
      </w:r>
    </w:p>
    <w:p w:rsidR="00FF5DFE" w:rsidRPr="003F44D1" w:rsidRDefault="002A35E1">
      <w:pPr>
        <w:spacing w:after="100" w:line="240" w:lineRule="auto"/>
        <w:ind w:left="283" w:hanging="283"/>
        <w:rPr>
          <w:sz w:val="18"/>
          <w:szCs w:val="18"/>
        </w:rPr>
      </w:pPr>
      <w:r w:rsidRPr="003F44D1">
        <w:rPr>
          <w:sz w:val="18"/>
          <w:szCs w:val="18"/>
        </w:rPr>
        <w:t>Maciel, N. S. et al. (2023). Temporal and spatial distribution of polio vaccine coverage in Brazil between 1997 and 2021. Revista Brasileira de Epidemiologia, 26, e230037. https://doi.or</w:t>
      </w:r>
      <w:r w:rsidRPr="003F44D1">
        <w:rPr>
          <w:sz w:val="18"/>
          <w:szCs w:val="18"/>
        </w:rPr>
        <w:t>g/10.1590/1980-549720230037.</w:t>
      </w:r>
    </w:p>
    <w:p w:rsidR="00FF5DFE" w:rsidRPr="003F44D1" w:rsidRDefault="002A35E1">
      <w:pPr>
        <w:spacing w:after="100" w:line="240" w:lineRule="auto"/>
        <w:ind w:left="283" w:hanging="283"/>
        <w:rPr>
          <w:sz w:val="18"/>
          <w:szCs w:val="18"/>
        </w:rPr>
      </w:pPr>
      <w:r w:rsidRPr="003F44D1">
        <w:rPr>
          <w:sz w:val="18"/>
          <w:szCs w:val="18"/>
        </w:rPr>
        <w:t>Souza, K. S.; Oliveira, M. B. M.; Silva, M. R. F. (2023). Cobertura vacinal de poliomielite no Brasil de 2013-2022. The Brazilian Journal of Infectious Diseases, 27(1), 103090. https://doi.org/10.1016/j.bjid.2023.103090.</w:t>
      </w:r>
    </w:p>
    <w:p w:rsidR="00FF5DFE" w:rsidRPr="003F44D1" w:rsidRDefault="002A35E1">
      <w:pPr>
        <w:spacing w:after="100" w:line="240" w:lineRule="auto"/>
        <w:ind w:left="283" w:hanging="283"/>
        <w:rPr>
          <w:sz w:val="18"/>
          <w:szCs w:val="18"/>
        </w:rPr>
      </w:pPr>
      <w:r w:rsidRPr="003F44D1">
        <w:rPr>
          <w:sz w:val="18"/>
          <w:szCs w:val="18"/>
        </w:rPr>
        <w:t>Franco</w:t>
      </w:r>
      <w:r w:rsidRPr="003F44D1">
        <w:rPr>
          <w:sz w:val="18"/>
          <w:szCs w:val="18"/>
        </w:rPr>
        <w:t>, A. L. M. X. et al. (2025). Analysis of polio vaccination status in a cohort of live births in 2017 and 2018 in Brazilian cities: a national vaccination coverage survey. Epidemiologia e Serviços de Saúde, 33(spe2), e20231303. https://doi.org/10.1590/S2237</w:t>
      </w:r>
      <w:r w:rsidRPr="003F44D1">
        <w:rPr>
          <w:sz w:val="18"/>
          <w:szCs w:val="18"/>
        </w:rPr>
        <w:t>-96222024v33e20231303.en.</w:t>
      </w:r>
    </w:p>
    <w:p w:rsidR="00FF5DFE" w:rsidRPr="003F44D1" w:rsidRDefault="002A35E1">
      <w:pPr>
        <w:spacing w:after="100" w:line="240" w:lineRule="auto"/>
        <w:ind w:left="283" w:hanging="283"/>
        <w:rPr>
          <w:sz w:val="18"/>
          <w:szCs w:val="18"/>
        </w:rPr>
      </w:pPr>
      <w:r w:rsidRPr="003F44D1">
        <w:rPr>
          <w:sz w:val="18"/>
          <w:szCs w:val="18"/>
        </w:rPr>
        <w:t>Marchelli, L. P. et al. (2026). Prevalence of polio vaccination in Brazil: a meta-analysis. The Brazilian Journal of Infectious Diseases, 30(Suppl. 1), 104966. https://doi.org/10.1016/j.bjid.2026.104966.</w:t>
      </w:r>
    </w:p>
    <w:p w:rsidR="00FF5DFE" w:rsidRPr="003F44D1" w:rsidRDefault="002A35E1">
      <w:pPr>
        <w:spacing w:after="100" w:line="240" w:lineRule="auto"/>
        <w:ind w:left="283" w:hanging="283"/>
        <w:rPr>
          <w:sz w:val="18"/>
          <w:szCs w:val="18"/>
        </w:rPr>
      </w:pPr>
      <w:r w:rsidRPr="003F44D1">
        <w:rPr>
          <w:sz w:val="18"/>
          <w:szCs w:val="18"/>
        </w:rPr>
        <w:t>Verani, J. F. S.; Laender,</w:t>
      </w:r>
      <w:r w:rsidRPr="003F44D1">
        <w:rPr>
          <w:sz w:val="18"/>
          <w:szCs w:val="18"/>
        </w:rPr>
        <w:t xml:space="preserve"> F. (2020). </w:t>
      </w:r>
      <w:proofErr w:type="gramStart"/>
      <w:r w:rsidRPr="003F44D1">
        <w:rPr>
          <w:sz w:val="18"/>
          <w:szCs w:val="18"/>
        </w:rPr>
        <w:t>A</w:t>
      </w:r>
      <w:proofErr w:type="gramEnd"/>
      <w:r w:rsidRPr="003F44D1">
        <w:rPr>
          <w:sz w:val="18"/>
          <w:szCs w:val="18"/>
        </w:rPr>
        <w:t xml:space="preserve"> erradicação da poliomielite em quatro tempos. Cadernos de Saúde Pública, 36(supl. 2), e00145720. https://doi.org/10.1590/0102-311X00145720.</w:t>
      </w:r>
    </w:p>
    <w:p w:rsidR="003F44D1" w:rsidRDefault="003F44D1">
      <w:pPr>
        <w:rPr>
          <w:b/>
          <w:sz w:val="18"/>
          <w:szCs w:val="18"/>
        </w:rPr>
      </w:pPr>
    </w:p>
    <w:p w:rsidR="003F44D1" w:rsidRDefault="003F44D1">
      <w:pPr>
        <w:rPr>
          <w:b/>
          <w:sz w:val="18"/>
          <w:szCs w:val="18"/>
        </w:rPr>
      </w:pPr>
    </w:p>
    <w:p w:rsidR="00FF5DFE" w:rsidRPr="003F44D1" w:rsidRDefault="002A35E1">
      <w:pPr>
        <w:rPr>
          <w:sz w:val="18"/>
          <w:szCs w:val="18"/>
        </w:rPr>
      </w:pPr>
      <w:r w:rsidRPr="003F44D1">
        <w:rPr>
          <w:b/>
          <w:sz w:val="18"/>
          <w:szCs w:val="18"/>
        </w:rPr>
        <w:t>Biography (150-word limit)</w:t>
      </w:r>
    </w:p>
    <w:p w:rsidR="00FF5DFE" w:rsidRPr="003F44D1" w:rsidRDefault="002A35E1">
      <w:pPr>
        <w:spacing w:line="252" w:lineRule="auto"/>
        <w:rPr>
          <w:sz w:val="18"/>
          <w:szCs w:val="18"/>
        </w:rPr>
      </w:pPr>
      <w:r w:rsidRPr="003F44D1">
        <w:rPr>
          <w:sz w:val="18"/>
          <w:szCs w:val="18"/>
        </w:rPr>
        <w:t>Felipe da Mata Abreu is a medical student at Universidade José do Rosário V</w:t>
      </w:r>
      <w:r w:rsidRPr="003F44D1">
        <w:rPr>
          <w:sz w:val="18"/>
          <w:szCs w:val="18"/>
        </w:rPr>
        <w:t xml:space="preserve">ellano (UNIFENAS), in Belo Horizonte, Brazil. He is currently an intern at the Federal University of Minas Gerais (UFMG), Institute of Biological Sciences, where he takes part in Projeto Interagir, an initiative that connects the university with basic and </w:t>
      </w:r>
      <w:r w:rsidRPr="003F44D1">
        <w:rPr>
          <w:sz w:val="18"/>
          <w:szCs w:val="18"/>
        </w:rPr>
        <w:t>technical education, delivering life sciences content and health education actions in schools, with an emphasis on self-knowledge and self-care. His academic interests include public health, immunization strategy, vaccination coverage and health education,</w:t>
      </w:r>
      <w:r w:rsidRPr="003F44D1">
        <w:rPr>
          <w:sz w:val="18"/>
          <w:szCs w:val="18"/>
        </w:rPr>
        <w:t xml:space="preserve"> with particular attention to the transition from oral to inactivated poliovirus vaccination in Brazil and its implications for risk communication and sustained population immunity.</w:t>
      </w:r>
    </w:p>
    <w:p w:rsidR="00FF5DFE" w:rsidRPr="003F44D1" w:rsidRDefault="002A35E1">
      <w:pPr>
        <w:jc w:val="right"/>
        <w:rPr>
          <w:sz w:val="18"/>
          <w:szCs w:val="18"/>
        </w:rPr>
      </w:pPr>
      <w:r w:rsidRPr="003F44D1">
        <w:rPr>
          <w:i/>
          <w:sz w:val="18"/>
          <w:szCs w:val="18"/>
        </w:rPr>
        <w:t>Biography word count: 108</w:t>
      </w:r>
    </w:p>
    <w:sectPr w:rsidR="00FF5DFE" w:rsidRPr="003F44D1" w:rsidSect="003F44D1">
      <w:type w:val="continuous"/>
      <w:pgSz w:w="12240" w:h="15840"/>
      <w:pgMar w:top="1134" w:right="1134" w:bottom="1134" w:left="1134"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35E1"/>
    <w:rsid w:val="00326F90"/>
    <w:rsid w:val="003F44D1"/>
    <w:rsid w:val="00AA1D8D"/>
    <w:rsid w:val="00B47730"/>
    <w:rsid w:val="00CB0664"/>
    <w:rsid w:val="00F05886"/>
    <w:rsid w:val="00FC693F"/>
    <w:rsid w:val="00FF5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EAD46"/>
  <w14:defaultImageDpi w14:val="300"/>
  <w15:docId w15:val="{EFA0C36B-A6E9-4E40-B3AD-346D1A37C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40180-8B8A-4174-A753-177F6DF1A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fmataabreu@outlook.com</cp:lastModifiedBy>
  <cp:revision>2</cp:revision>
  <dcterms:created xsi:type="dcterms:W3CDTF">2026-09-26T14:17:00Z</dcterms:created>
  <dcterms:modified xsi:type="dcterms:W3CDTF">2026-09-26T14:17:00Z</dcterms:modified>
  <cp:category/>
</cp:coreProperties>
</file>