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jc w:val="center"/>
        <w:rPr>
          <w:b w:val="1"/>
          <w:sz w:val="24"/>
          <w:szCs w:val="24"/>
        </w:rPr>
      </w:pPr>
      <w:r w:rsidDel="00000000" w:rsidR="00000000" w:rsidRPr="00000000">
        <w:rPr>
          <w:b w:val="1"/>
          <w:sz w:val="24"/>
          <w:szCs w:val="24"/>
          <w:rtl w:val="0"/>
        </w:rPr>
        <w:t xml:space="preserve">Title: Acute Flaccid Myelitis in Indian Children in 2017—the Return of Polio?</w:t>
      </w:r>
    </w:p>
    <w:p w:rsidR="00000000" w:rsidDel="00000000" w:rsidP="00000000" w:rsidRDefault="00000000" w:rsidRPr="00000000">
      <w:pPr>
        <w:contextualSpacing w:val="0"/>
        <w:jc w:val="center"/>
        <w:rPr>
          <w:rFonts w:ascii="Arial" w:cs="Arial" w:eastAsia="Arial" w:hAnsi="Arial"/>
          <w:b w:val="1"/>
          <w:color w:val="000000"/>
          <w:sz w:val="21"/>
          <w:szCs w:val="21"/>
          <w:highlight w:val="white"/>
        </w:rPr>
      </w:pPr>
      <w:r w:rsidDel="00000000" w:rsidR="00000000" w:rsidRPr="00000000">
        <w:rPr>
          <w:b w:val="1"/>
          <w:sz w:val="24"/>
          <w:szCs w:val="24"/>
          <w:rtl w:val="0"/>
        </w:rPr>
        <w:t xml:space="preserve">Authors: Sarmast SSN, Vykuntaraju KN, Ahmed M,</w:t>
      </w:r>
      <w:r w:rsidDel="00000000" w:rsidR="00000000" w:rsidRPr="00000000">
        <w:rPr>
          <w:rFonts w:ascii="Arial" w:cs="Arial" w:eastAsia="Arial" w:hAnsi="Arial"/>
          <w:b w:val="1"/>
          <w:color w:val="000000"/>
          <w:sz w:val="21"/>
          <w:szCs w:val="21"/>
          <w:highlight w:val="white"/>
          <w:rtl w:val="0"/>
        </w:rPr>
        <w:t xml:space="preserve"> Basavaraja GV, Saini J, Benakappa A.</w:t>
      </w:r>
    </w:p>
    <w:p w:rsidR="00000000" w:rsidDel="00000000" w:rsidP="00000000" w:rsidRDefault="00000000" w:rsidRPr="00000000">
      <w:pPr>
        <w:contextualSpacing w:val="0"/>
        <w:jc w:val="center"/>
        <w:rPr>
          <w:b w:val="1"/>
          <w:sz w:val="24"/>
          <w:szCs w:val="24"/>
        </w:rPr>
      </w:pPr>
      <w:bookmarkStart w:colFirst="0" w:colLast="0" w:name="_gjdgxs" w:id="0"/>
      <w:bookmarkEnd w:id="0"/>
      <w:r w:rsidDel="00000000" w:rsidR="00000000" w:rsidRPr="00000000">
        <w:rPr>
          <w:rtl w:val="0"/>
        </w:rPr>
      </w:r>
    </w:p>
    <w:p w:rsidR="00000000" w:rsidDel="00000000" w:rsidP="00000000" w:rsidRDefault="00000000" w:rsidRPr="00000000">
      <w:pPr>
        <w:contextualSpacing w:val="0"/>
        <w:jc w:val="both"/>
        <w:rPr>
          <w:b w:val="1"/>
          <w:sz w:val="24"/>
          <w:szCs w:val="24"/>
        </w:rPr>
      </w:pPr>
      <w:r w:rsidDel="00000000" w:rsidR="00000000" w:rsidRPr="00000000">
        <w:rPr>
          <w:b w:val="1"/>
          <w:sz w:val="24"/>
          <w:szCs w:val="24"/>
          <w:rtl w:val="0"/>
        </w:rPr>
        <w:t xml:space="preserve">Introduction:</w:t>
      </w:r>
    </w:p>
    <w:p w:rsidR="00000000" w:rsidDel="00000000" w:rsidP="00000000" w:rsidRDefault="00000000" w:rsidRPr="00000000">
      <w:pPr>
        <w:contextualSpacing w:val="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Acute flaccid myelitis (AFM) is characterised by limb weakness with spinal cord grey matter lesion on imaging or electro diagnostic evidence of spinal cord motor neuron injury. Clusters of acute flaccid weakness in paediatric age group have been linked to the outbreak of non-polio enterovirus. This poliomyelitis like illness is rare in children and its natural course is not yet well defined.</w:t>
      </w:r>
    </w:p>
    <w:p w:rsidR="00000000" w:rsidDel="00000000" w:rsidP="00000000" w:rsidRDefault="00000000" w:rsidRPr="00000000">
      <w:pPr>
        <w:contextualSpacing w:val="0"/>
        <w:jc w:val="both"/>
        <w:rPr>
          <w:b w:val="1"/>
          <w:sz w:val="24"/>
          <w:szCs w:val="24"/>
        </w:rPr>
      </w:pPr>
      <w:r w:rsidDel="00000000" w:rsidR="00000000" w:rsidRPr="00000000">
        <w:rPr>
          <w:b w:val="1"/>
          <w:sz w:val="24"/>
          <w:szCs w:val="24"/>
          <w:rtl w:val="0"/>
        </w:rPr>
        <w:t xml:space="preserve">Aims and objectives: </w:t>
      </w:r>
      <w:r w:rsidDel="00000000" w:rsidR="00000000" w:rsidRPr="00000000">
        <w:rPr>
          <w:rFonts w:ascii="Calibri" w:cs="Calibri" w:eastAsia="Calibri" w:hAnsi="Calibri"/>
          <w:sz w:val="24"/>
          <w:szCs w:val="24"/>
          <w:rtl w:val="0"/>
        </w:rPr>
        <w:t xml:space="preserve">To describe the clinical presentation, laboratory findings and management of cohort of children with AFM, a polio-like illness.</w:t>
      </w:r>
      <w:r w:rsidDel="00000000" w:rsidR="00000000" w:rsidRPr="00000000">
        <w:rPr>
          <w:rtl w:val="0"/>
        </w:rPr>
      </w:r>
    </w:p>
    <w:p w:rsidR="00000000" w:rsidDel="00000000" w:rsidP="00000000" w:rsidRDefault="00000000" w:rsidRPr="00000000">
      <w:pPr>
        <w:contextualSpacing w:val="0"/>
        <w:jc w:val="both"/>
        <w:rPr>
          <w:rFonts w:ascii="Calibri" w:cs="Calibri" w:eastAsia="Calibri" w:hAnsi="Calibri"/>
          <w:sz w:val="24"/>
          <w:szCs w:val="24"/>
        </w:rPr>
      </w:pPr>
      <w:r w:rsidDel="00000000" w:rsidR="00000000" w:rsidRPr="00000000">
        <w:rPr>
          <w:b w:val="1"/>
          <w:sz w:val="24"/>
          <w:szCs w:val="24"/>
          <w:highlight w:val="white"/>
          <w:rtl w:val="0"/>
        </w:rPr>
        <w:t xml:space="preserve">Materials and methods</w:t>
      </w:r>
      <w:r w:rsidDel="00000000" w:rsidR="00000000" w:rsidRPr="00000000">
        <w:rPr>
          <w:sz w:val="24"/>
          <w:szCs w:val="24"/>
          <w:rtl w:val="0"/>
        </w:rPr>
        <w:t xml:space="preserve">:</w:t>
      </w:r>
      <w:r w:rsidDel="00000000" w:rsidR="00000000" w:rsidRPr="00000000">
        <w:rPr>
          <w:rFonts w:ascii="Calibri" w:cs="Calibri" w:eastAsia="Calibri" w:hAnsi="Calibri"/>
          <w:sz w:val="24"/>
          <w:szCs w:val="24"/>
          <w:rtl w:val="0"/>
        </w:rPr>
        <w:t xml:space="preserve"> This is a prospective cohort study.</w:t>
      </w:r>
    </w:p>
    <w:p w:rsidR="00000000" w:rsidDel="00000000" w:rsidP="00000000" w:rsidRDefault="00000000" w:rsidRPr="00000000">
      <w:pPr>
        <w:contextualSpacing w:val="0"/>
        <w:jc w:val="both"/>
        <w:rPr>
          <w:rFonts w:ascii="Calibri" w:cs="Calibri" w:eastAsia="Calibri" w:hAnsi="Calibri"/>
          <w:sz w:val="24"/>
          <w:szCs w:val="24"/>
        </w:rPr>
      </w:pPr>
      <w:r w:rsidDel="00000000" w:rsidR="00000000" w:rsidRPr="00000000">
        <w:rPr>
          <w:b w:val="1"/>
          <w:sz w:val="24"/>
          <w:szCs w:val="24"/>
          <w:rtl w:val="0"/>
        </w:rPr>
        <w:t xml:space="preserve">Results:</w:t>
      </w:r>
      <w:r w:rsidDel="00000000" w:rsidR="00000000" w:rsidRPr="00000000">
        <w:rPr>
          <w:rFonts w:ascii="Calibri" w:cs="Calibri" w:eastAsia="Calibri" w:hAnsi="Calibri"/>
          <w:sz w:val="24"/>
          <w:szCs w:val="24"/>
          <w:rtl w:val="0"/>
        </w:rPr>
        <w:t xml:space="preserve"> Seven children (three males, four females) aged from 1year 8month to 7year met the case criteria. All cases initially presented with prodromal symptoms like fever, cough and vomiting followed by acute limb weakness. One child had seventh cranial nerve palsy. Two children required prolonged ventilator support. All were having asymmetrical weakness. Maximum weakness is reached by four days from the onset of fever.  CSF analysis shows pleocytosis (n-5) with mildly elevated protein (n-5). Viral markers for arboviruses and enteroviruses were negative in both serology and CSF. Electrophysiological study shows decreased compound muscle action potential in all. MRI of the brain and spinal cord showed predominantly grey matter involvement of the spinal cord extending longitudinally in all. Residual weakness is noted in all children.</w:t>
      </w:r>
    </w:p>
    <w:p w:rsidR="00000000" w:rsidDel="00000000" w:rsidP="00000000" w:rsidRDefault="00000000" w:rsidRPr="00000000">
      <w:pPr>
        <w:contextualSpacing w:val="0"/>
        <w:jc w:val="both"/>
        <w:rPr>
          <w:rFonts w:ascii="Calibri" w:cs="Calibri" w:eastAsia="Calibri" w:hAnsi="Calibri"/>
          <w:sz w:val="24"/>
          <w:szCs w:val="24"/>
        </w:rPr>
      </w:pPr>
      <w:r w:rsidDel="00000000" w:rsidR="00000000" w:rsidRPr="00000000">
        <w:rPr>
          <w:b w:val="1"/>
          <w:sz w:val="24"/>
          <w:szCs w:val="24"/>
          <w:rtl w:val="0"/>
        </w:rPr>
        <w:t xml:space="preserve">Conclusion</w:t>
      </w:r>
      <w:r w:rsidDel="00000000" w:rsidR="00000000" w:rsidRPr="00000000">
        <w:rPr>
          <w:sz w:val="24"/>
          <w:szCs w:val="24"/>
          <w:rtl w:val="0"/>
        </w:rPr>
        <w:t xml:space="preserve">:</w:t>
      </w:r>
      <w:r w:rsidDel="00000000" w:rsidR="00000000" w:rsidRPr="00000000">
        <w:rPr>
          <w:rFonts w:ascii="Calibri" w:cs="Calibri" w:eastAsia="Calibri" w:hAnsi="Calibri"/>
          <w:sz w:val="24"/>
          <w:szCs w:val="24"/>
          <w:rtl w:val="0"/>
        </w:rPr>
        <w:t xml:space="preserve"> AFM should be one of the differential diagnoses in any child presenting with polio-like illness.</w:t>
      </w:r>
    </w:p>
    <w:p w:rsidR="00000000" w:rsidDel="00000000" w:rsidP="00000000" w:rsidRDefault="00000000" w:rsidRPr="00000000">
      <w:pPr>
        <w:contextualSpacing w:val="0"/>
        <w:rPr/>
      </w:pPr>
      <w:r w:rsidDel="00000000" w:rsidR="00000000" w:rsidRPr="00000000">
        <w:rPr>
          <w:rtl w:val="0"/>
        </w:rPr>
      </w:r>
    </w:p>
    <w:sectPr>
      <w:pgSz w:h="16838" w:w="11906"/>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shd w:fill="auto" w:val="clear"/>
        <w:vertAlign w:val="baseline"/>
        <w:lang w:val="en-I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CA14CE"/>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DE3769"/>
    <w:rPr>
      <w:color w:val="0563c1" w:themeColor="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